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drawing>
          <wp:inline xmlns:a="http://schemas.openxmlformats.org/drawingml/2006/main" xmlns:pic="http://schemas.openxmlformats.org/drawingml/2006/picture">
            <wp:extent cx="1512000" cy="597240"/>
            <wp:docPr id="1" name="Picture 1"/>
            <wp:cNvGraphicFramePr>
              <a:graphicFrameLocks noChangeAspect="1"/>
            </wp:cNvGraphicFramePr>
            <a:graphic>
              <a:graphicData uri="http://schemas.openxmlformats.org/drawingml/2006/picture">
                <pic:pic>
                  <pic:nvPicPr>
                    <pic:cNvPr id="0" name="nocip-wordmark.png"/>
                    <pic:cNvPicPr/>
                  </pic:nvPicPr>
                  <pic:blipFill>
                    <a:blip r:embed="rId11"/>
                    <a:stretch>
                      <a:fillRect/>
                    </a:stretch>
                  </pic:blipFill>
                  <pic:spPr>
                    <a:xfrm>
                      <a:off x="0" y="0"/>
                      <a:ext cx="1512000" cy="597240"/>
                    </a:xfrm>
                    <a:prstGeom prst="rect"/>
                  </pic:spPr>
                </pic:pic>
              </a:graphicData>
            </a:graphic>
          </wp:inline>
        </w:drawing>
      </w:r>
    </w:p>
    <w:p>
      <w:pPr>
        <w:spacing w:after="560"/>
      </w:pPr>
      <w:r>
        <w:rPr>
          <w:b w:val="0"/>
          <w:i w:val="0"/>
          <w:color w:val="586676"/>
          <w:sz w:val="18"/>
        </w:rPr>
        <w:t>No Cloud Inference on Personal data</w:t>
      </w:r>
    </w:p>
    <w:p>
      <w:pPr>
        <w:pStyle w:val="Title"/>
        <w:spacing w:after="120"/>
      </w:pPr>
      <w:r>
        <w:rPr>
          <w:b w:val="0"/>
          <w:i w:val="0"/>
        </w:rPr>
        <w:t>Self-Assessment</w:t>
      </w:r>
    </w:p>
    <w:p>
      <w:pPr>
        <w:spacing w:after="360"/>
      </w:pPr>
      <w:r>
        <w:rPr>
          <w:b w:val="0"/>
          <w:i w:val="0"/>
          <w:color w:val="586676"/>
          <w:sz w:val="18"/>
        </w:rPr>
        <w:t>Version 1.0 · 2026-10-29 · Draft – not yet approved</w:t>
      </w:r>
    </w:p>
    <w:p>
      <w:r>
        <w:rPr>
          <w:b w:val="0"/>
          <w:i w:val="0"/>
        </w:rPr>
        <w:t>Please answer the common criteria (C) and all criteria of the tier you apply for. For Silver, answer the criteria of the variant(s) that apply to your product. You may also answer the criteria of lower tiers; your product can then receive the lower tier if it does not fully meet the one you applied for.</w:t>
      </w:r>
    </w:p>
    <w:p>
      <w:r>
        <w:rPr>
          <w:b w:val="0"/>
          <w:i w:val="0"/>
        </w:rPr>
        <w:t>Attach evidence as files whose names start with the criterion ID (e.g. “C-02_Models.pdf”). If a criterion does not apply, tick “not applicable” and give the reason.</w:t>
      </w:r>
    </w:p>
    <w:p>
      <w:pPr>
        <w:pStyle w:val="Heading1"/>
      </w:pPr>
      <w:r>
        <w:t>Part A · Vendor and product</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2835"/>
        <w:gridCol w:w="6804"/>
      </w:tblGrid>
      <w:tr>
        <w:trPr>
          <w:cantSplit w:val="true"/>
          <w:trHeight w:val="454"/>
        </w:trPr>
        <w:tc>
          <w:tcPr>
            <w:tcW w:type="dxa" w:w="2835"/>
          </w:tcPr>
          <w:p>
            <w:pPr>
              <w:spacing w:after="0"/>
            </w:pPr>
            <w:r>
              <w:rPr>
                <w:b/>
                <w:i w:val="0"/>
              </w:rPr>
              <w:t>Company</w:t>
            </w:r>
          </w:p>
        </w:tc>
        <w:tc>
          <w:tcPr>
            <w:tcW w:type="dxa" w:w="6803"/>
          </w:tcPr>
          <w:p>
            <w:pPr>
              <w:spacing w:after="0"/>
            </w:pPr>
          </w:p>
        </w:tc>
      </w:tr>
      <w:tr>
        <w:trPr>
          <w:cantSplit w:val="true"/>
          <w:trHeight w:val="454"/>
        </w:trPr>
        <w:tc>
          <w:tcPr>
            <w:tcW w:type="dxa" w:w="2835"/>
          </w:tcPr>
          <w:p>
            <w:pPr>
              <w:spacing w:after="0"/>
            </w:pPr>
            <w:r>
              <w:rPr>
                <w:b/>
                <w:i w:val="0"/>
              </w:rPr>
              <w:t>Address</w:t>
            </w:r>
          </w:p>
        </w:tc>
        <w:tc>
          <w:tcPr>
            <w:tcW w:type="dxa" w:w="6803"/>
          </w:tcPr>
          <w:p>
            <w:pPr>
              <w:spacing w:after="0"/>
            </w:pPr>
          </w:p>
        </w:tc>
      </w:tr>
      <w:tr>
        <w:trPr>
          <w:cantSplit w:val="true"/>
          <w:trHeight w:val="454"/>
        </w:trPr>
        <w:tc>
          <w:tcPr>
            <w:tcW w:type="dxa" w:w="2835"/>
          </w:tcPr>
          <w:p>
            <w:pPr>
              <w:spacing w:after="0"/>
            </w:pPr>
            <w:r>
              <w:rPr>
                <w:b/>
                <w:i w:val="0"/>
              </w:rPr>
              <w:t>Contact person (name, role)</w:t>
            </w:r>
          </w:p>
        </w:tc>
        <w:tc>
          <w:tcPr>
            <w:tcW w:type="dxa" w:w="6803"/>
          </w:tcPr>
          <w:p>
            <w:pPr>
              <w:spacing w:after="0"/>
            </w:pPr>
          </w:p>
        </w:tc>
      </w:tr>
      <w:tr>
        <w:trPr>
          <w:cantSplit w:val="true"/>
          <w:trHeight w:val="454"/>
        </w:trPr>
        <w:tc>
          <w:tcPr>
            <w:tcW w:type="dxa" w:w="2835"/>
          </w:tcPr>
          <w:p>
            <w:pPr>
              <w:spacing w:after="0"/>
            </w:pPr>
            <w:r>
              <w:rPr>
                <w:b/>
                <w:i w:val="0"/>
              </w:rPr>
              <w:t>E-mail, phone</w:t>
            </w:r>
          </w:p>
        </w:tc>
        <w:tc>
          <w:tcPr>
            <w:tcW w:type="dxa" w:w="6803"/>
          </w:tcPr>
          <w:p>
            <w:pPr>
              <w:spacing w:after="0"/>
            </w:pPr>
          </w:p>
        </w:tc>
      </w:tr>
      <w:tr>
        <w:trPr>
          <w:cantSplit w:val="true"/>
          <w:trHeight w:val="454"/>
        </w:trPr>
        <w:tc>
          <w:tcPr>
            <w:tcW w:type="dxa" w:w="2835"/>
          </w:tcPr>
          <w:p>
            <w:pPr>
              <w:spacing w:after="0"/>
            </w:pPr>
            <w:r>
              <w:rPr>
                <w:b/>
                <w:i w:val="0"/>
              </w:rPr>
              <w:t>Product</w:t>
            </w:r>
          </w:p>
        </w:tc>
        <w:tc>
          <w:tcPr>
            <w:tcW w:type="dxa" w:w="6803"/>
          </w:tcPr>
          <w:p>
            <w:pPr>
              <w:spacing w:after="0"/>
            </w:pPr>
          </w:p>
        </w:tc>
      </w:tr>
      <w:tr>
        <w:trPr>
          <w:cantSplit w:val="true"/>
          <w:trHeight w:val="454"/>
        </w:trPr>
        <w:tc>
          <w:tcPr>
            <w:tcW w:type="dxa" w:w="2835"/>
          </w:tcPr>
          <w:p>
            <w:pPr>
              <w:spacing w:after="0"/>
            </w:pPr>
            <w:r>
              <w:rPr>
                <w:b/>
                <w:i w:val="0"/>
              </w:rPr>
              <w:t>Version</w:t>
            </w:r>
          </w:p>
        </w:tc>
        <w:tc>
          <w:tcPr>
            <w:tcW w:type="dxa" w:w="6803"/>
          </w:tcPr>
          <w:p>
            <w:pPr>
              <w:spacing w:after="0"/>
            </w:pPr>
          </w:p>
        </w:tc>
      </w:tr>
      <w:tr>
        <w:trPr>
          <w:cantSplit w:val="true"/>
          <w:trHeight w:val="454"/>
        </w:trPr>
        <w:tc>
          <w:tcPr>
            <w:tcW w:type="dxa" w:w="2835"/>
          </w:tcPr>
          <w:p>
            <w:pPr>
              <w:spacing w:after="0"/>
            </w:pPr>
            <w:r>
              <w:rPr>
                <w:b/>
                <w:i w:val="0"/>
              </w:rPr>
              <w:t>Product website</w:t>
            </w:r>
          </w:p>
        </w:tc>
        <w:tc>
          <w:tcPr>
            <w:tcW w:type="dxa" w:w="6803"/>
          </w:tcPr>
          <w:p>
            <w:pPr>
              <w:spacing w:after="0"/>
            </w:pPr>
          </w:p>
        </w:tc>
      </w:tr>
      <w:tr>
        <w:trPr>
          <w:cantSplit w:val="true"/>
          <w:trHeight w:val="1417"/>
        </w:trPr>
        <w:tc>
          <w:tcPr>
            <w:tcW w:type="dxa" w:w="2835"/>
          </w:tcPr>
          <w:p>
            <w:pPr>
              <w:spacing w:after="0"/>
            </w:pPr>
            <w:r>
              <w:rPr>
                <w:b/>
                <w:i w:val="0"/>
              </w:rPr>
              <w:t>AI functions of the product</w:t>
            </w:r>
          </w:p>
        </w:tc>
        <w:tc>
          <w:tcPr>
            <w:tcW w:type="dxa" w:w="6803"/>
          </w:tcPr>
          <w:p>
            <w:pPr>
              <w:spacing w:after="0"/>
            </w:pPr>
          </w:p>
        </w:tc>
      </w:tr>
      <w:tr>
        <w:trPr>
          <w:cantSplit w:val="true"/>
        </w:trPr>
        <w:tc>
          <w:tcPr>
            <w:tcW w:type="dxa" w:w="2835"/>
          </w:tcPr>
          <w:p>
            <w:pPr>
              <w:spacing w:after="0"/>
            </w:pPr>
            <w:r>
              <w:rPr>
                <w:b/>
                <w:i w:val="0"/>
              </w:rPr>
              <w:t>Product type</w:t>
            </w:r>
          </w:p>
        </w:tc>
        <w:tc>
          <w:tcPr>
            <w:tcW w:type="dxa" w:w="6803"/>
          </w:tcPr>
          <w:p>
            <w:pPr>
              <w:spacing w:after="0"/>
            </w:pPr>
            <w:r>
              <w:rPr>
                <w:b w:val="0"/>
                <w:i w:val="0"/>
              </w:rPr>
              <w:t>☐ Desktop   ☐ Server / on-premise   ☐ SaaS   ☐ Other</w:t>
            </w:r>
          </w:p>
        </w:tc>
      </w:tr>
      <w:tr>
        <w:trPr>
          <w:cantSplit w:val="true"/>
        </w:trPr>
        <w:tc>
          <w:tcPr>
            <w:tcW w:type="dxa" w:w="2835"/>
          </w:tcPr>
          <w:p>
            <w:pPr>
              <w:spacing w:after="0"/>
            </w:pPr>
            <w:r>
              <w:rPr>
                <w:b/>
                <w:i w:val="0"/>
              </w:rPr>
              <w:t>Tier applied for</w:t>
            </w:r>
          </w:p>
        </w:tc>
        <w:tc>
          <w:tcPr>
            <w:tcW w:type="dxa" w:w="6803"/>
          </w:tcPr>
          <w:p>
            <w:pPr>
              <w:spacing w:after="0"/>
            </w:pPr>
            <w:r>
              <w:rPr>
                <w:b w:val="0"/>
                <w:i w:val="0"/>
              </w:rPr>
              <w:t>☐ Gold   ☐ Silver S-a   ☐ Silver S-b   ☐ Bronze</w:t>
            </w:r>
          </w:p>
        </w:tc>
      </w:tr>
    </w:tbl>
    <w:p>
      <w:pPr>
        <w:pStyle w:val="Heading1"/>
      </w:pPr>
      <w:r>
        <w:t>Part B · Model inventory (C-02)</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1020"/>
        <w:gridCol w:w="1247"/>
        <w:gridCol w:w="1360"/>
        <w:gridCol w:w="2268"/>
        <w:gridCol w:w="1927"/>
      </w:tblGrid>
      <w:tr>
        <w:trPr>
          <w:cantSplit w:val="true"/>
          <w:tblHeader w:val="true"/>
        </w:trPr>
        <w:tc>
          <w:tcPr>
            <w:tcW w:type="dxa" w:w="1814"/>
            <w:shd w:val="clear" w:color="auto" w:fill="EEF2F6"/>
          </w:tcPr>
          <w:p>
            <w:pPr>
              <w:spacing w:after="0"/>
            </w:pPr>
            <w:r>
              <w:rPr>
                <w:b/>
                <w:i w:val="0"/>
                <w:color w:val="586676"/>
                <w:sz w:val="16"/>
              </w:rPr>
              <w:t>Model</w:t>
            </w:r>
          </w:p>
        </w:tc>
        <w:tc>
          <w:tcPr>
            <w:tcW w:type="dxa" w:w="1020"/>
            <w:shd w:val="clear" w:color="auto" w:fill="EEF2F6"/>
          </w:tcPr>
          <w:p>
            <w:pPr>
              <w:spacing w:after="0"/>
            </w:pPr>
            <w:r>
              <w:rPr>
                <w:b/>
                <w:i w:val="0"/>
                <w:color w:val="586676"/>
                <w:sz w:val="16"/>
              </w:rPr>
              <w:t>Version</w:t>
            </w:r>
          </w:p>
        </w:tc>
        <w:tc>
          <w:tcPr>
            <w:tcW w:type="dxa" w:w="1247"/>
            <w:shd w:val="clear" w:color="auto" w:fill="EEF2F6"/>
          </w:tcPr>
          <w:p>
            <w:pPr>
              <w:spacing w:after="0"/>
            </w:pPr>
            <w:r>
              <w:rPr>
                <w:b/>
                <w:i w:val="0"/>
                <w:color w:val="586676"/>
                <w:sz w:val="16"/>
              </w:rPr>
              <w:t>Licence</w:t>
            </w:r>
          </w:p>
        </w:tc>
        <w:tc>
          <w:tcPr>
            <w:tcW w:type="dxa" w:w="1361"/>
            <w:shd w:val="clear" w:color="auto" w:fill="EEF2F6"/>
          </w:tcPr>
          <w:p>
            <w:pPr>
              <w:spacing w:after="0"/>
            </w:pPr>
            <w:r>
              <w:rPr>
                <w:b/>
                <w:i w:val="0"/>
                <w:color w:val="586676"/>
                <w:sz w:val="16"/>
              </w:rPr>
              <w:t>Origin</w:t>
            </w:r>
          </w:p>
        </w:tc>
        <w:tc>
          <w:tcPr>
            <w:tcW w:type="dxa" w:w="2268"/>
            <w:shd w:val="clear" w:color="auto" w:fill="EEF2F6"/>
          </w:tcPr>
          <w:p>
            <w:pPr>
              <w:spacing w:after="0"/>
            </w:pPr>
            <w:r>
              <w:rPr>
                <w:b/>
                <w:i w:val="0"/>
                <w:color w:val="586676"/>
                <w:sz w:val="16"/>
              </w:rPr>
              <w:t>Runs at (customer / vendor / third-party AI, country)</w:t>
            </w:r>
          </w:p>
        </w:tc>
        <w:tc>
          <w:tcPr>
            <w:tcW w:type="dxa" w:w="1928"/>
            <w:shd w:val="clear" w:color="auto" w:fill="EEF2F6"/>
          </w:tcPr>
          <w:p>
            <w:pPr>
              <w:spacing w:after="0"/>
            </w:pPr>
            <w:r>
              <w:rPr>
                <w:b/>
                <w:i w:val="0"/>
                <w:color w:val="586676"/>
                <w:sz w:val="16"/>
              </w:rPr>
              <w:t>AI function</w:t>
            </w:r>
          </w:p>
        </w:tc>
      </w:tr>
      <w:tr>
        <w:trPr>
          <w:cantSplit w:val="true"/>
          <w:trHeight w:val="454"/>
        </w:trPr>
        <w:tc>
          <w:tcPr>
            <w:tcW w:type="dxa" w:w="1814"/>
          </w:tcPr>
          <w:p>
            <w:pPr>
              <w:spacing w:after="0"/>
            </w:pPr>
          </w:p>
        </w:tc>
        <w:tc>
          <w:tcPr>
            <w:tcW w:type="dxa" w:w="1020"/>
          </w:tcPr>
          <w:p>
            <w:pPr>
              <w:spacing w:after="0"/>
            </w:pPr>
          </w:p>
        </w:tc>
        <w:tc>
          <w:tcPr>
            <w:tcW w:type="dxa" w:w="1247"/>
          </w:tcPr>
          <w:p>
            <w:pPr>
              <w:spacing w:after="0"/>
            </w:pPr>
          </w:p>
        </w:tc>
        <w:tc>
          <w:tcPr>
            <w:tcW w:type="dxa" w:w="1361"/>
          </w:tcPr>
          <w:p>
            <w:pPr>
              <w:spacing w:after="0"/>
            </w:pPr>
          </w:p>
        </w:tc>
        <w:tc>
          <w:tcPr>
            <w:tcW w:type="dxa" w:w="2268"/>
          </w:tcPr>
          <w:p>
            <w:pPr>
              <w:spacing w:after="0"/>
            </w:pPr>
          </w:p>
        </w:tc>
        <w:tc>
          <w:tcPr>
            <w:tcW w:type="dxa" w:w="1928"/>
          </w:tcPr>
          <w:p>
            <w:pPr>
              <w:spacing w:after="0"/>
            </w:pPr>
          </w:p>
        </w:tc>
      </w:tr>
      <w:tr>
        <w:trPr>
          <w:cantSplit w:val="true"/>
          <w:trHeight w:val="454"/>
        </w:trPr>
        <w:tc>
          <w:tcPr>
            <w:tcW w:type="dxa" w:w="1814"/>
          </w:tcPr>
          <w:p>
            <w:pPr>
              <w:spacing w:after="0"/>
            </w:pPr>
          </w:p>
        </w:tc>
        <w:tc>
          <w:tcPr>
            <w:tcW w:type="dxa" w:w="1020"/>
          </w:tcPr>
          <w:p>
            <w:pPr>
              <w:spacing w:after="0"/>
            </w:pPr>
          </w:p>
        </w:tc>
        <w:tc>
          <w:tcPr>
            <w:tcW w:type="dxa" w:w="1247"/>
          </w:tcPr>
          <w:p>
            <w:pPr>
              <w:spacing w:after="0"/>
            </w:pPr>
          </w:p>
        </w:tc>
        <w:tc>
          <w:tcPr>
            <w:tcW w:type="dxa" w:w="1361"/>
          </w:tcPr>
          <w:p>
            <w:pPr>
              <w:spacing w:after="0"/>
            </w:pPr>
          </w:p>
        </w:tc>
        <w:tc>
          <w:tcPr>
            <w:tcW w:type="dxa" w:w="2268"/>
          </w:tcPr>
          <w:p>
            <w:pPr>
              <w:spacing w:after="0"/>
            </w:pPr>
          </w:p>
        </w:tc>
        <w:tc>
          <w:tcPr>
            <w:tcW w:type="dxa" w:w="1928"/>
          </w:tcPr>
          <w:p>
            <w:pPr>
              <w:spacing w:after="0"/>
            </w:pPr>
          </w:p>
        </w:tc>
      </w:tr>
      <w:tr>
        <w:trPr>
          <w:cantSplit w:val="true"/>
          <w:trHeight w:val="454"/>
        </w:trPr>
        <w:tc>
          <w:tcPr>
            <w:tcW w:type="dxa" w:w="1814"/>
          </w:tcPr>
          <w:p>
            <w:pPr>
              <w:spacing w:after="0"/>
            </w:pPr>
          </w:p>
        </w:tc>
        <w:tc>
          <w:tcPr>
            <w:tcW w:type="dxa" w:w="1020"/>
          </w:tcPr>
          <w:p>
            <w:pPr>
              <w:spacing w:after="0"/>
            </w:pPr>
          </w:p>
        </w:tc>
        <w:tc>
          <w:tcPr>
            <w:tcW w:type="dxa" w:w="1247"/>
          </w:tcPr>
          <w:p>
            <w:pPr>
              <w:spacing w:after="0"/>
            </w:pPr>
          </w:p>
        </w:tc>
        <w:tc>
          <w:tcPr>
            <w:tcW w:type="dxa" w:w="1361"/>
          </w:tcPr>
          <w:p>
            <w:pPr>
              <w:spacing w:after="0"/>
            </w:pPr>
          </w:p>
        </w:tc>
        <w:tc>
          <w:tcPr>
            <w:tcW w:type="dxa" w:w="2268"/>
          </w:tcPr>
          <w:p>
            <w:pPr>
              <w:spacing w:after="0"/>
            </w:pPr>
          </w:p>
        </w:tc>
        <w:tc>
          <w:tcPr>
            <w:tcW w:type="dxa" w:w="1928"/>
          </w:tcPr>
          <w:p>
            <w:pPr>
              <w:spacing w:after="0"/>
            </w:pPr>
          </w:p>
        </w:tc>
      </w:tr>
      <w:tr>
        <w:trPr>
          <w:cantSplit w:val="true"/>
          <w:trHeight w:val="454"/>
        </w:trPr>
        <w:tc>
          <w:tcPr>
            <w:tcW w:type="dxa" w:w="1814"/>
          </w:tcPr>
          <w:p>
            <w:pPr>
              <w:spacing w:after="0"/>
            </w:pPr>
          </w:p>
        </w:tc>
        <w:tc>
          <w:tcPr>
            <w:tcW w:type="dxa" w:w="1020"/>
          </w:tcPr>
          <w:p>
            <w:pPr>
              <w:spacing w:after="0"/>
            </w:pPr>
          </w:p>
        </w:tc>
        <w:tc>
          <w:tcPr>
            <w:tcW w:type="dxa" w:w="1247"/>
          </w:tcPr>
          <w:p>
            <w:pPr>
              <w:spacing w:after="0"/>
            </w:pPr>
          </w:p>
        </w:tc>
        <w:tc>
          <w:tcPr>
            <w:tcW w:type="dxa" w:w="1361"/>
          </w:tcPr>
          <w:p>
            <w:pPr>
              <w:spacing w:after="0"/>
            </w:pPr>
          </w:p>
        </w:tc>
        <w:tc>
          <w:tcPr>
            <w:tcW w:type="dxa" w:w="2268"/>
          </w:tcPr>
          <w:p>
            <w:pPr>
              <w:spacing w:after="0"/>
            </w:pPr>
          </w:p>
        </w:tc>
        <w:tc>
          <w:tcPr>
            <w:tcW w:type="dxa" w:w="1928"/>
          </w:tcPr>
          <w:p>
            <w:pPr>
              <w:spacing w:after="0"/>
            </w:pPr>
          </w:p>
        </w:tc>
      </w:tr>
      <w:tr>
        <w:trPr>
          <w:cantSplit w:val="true"/>
          <w:trHeight w:val="454"/>
        </w:trPr>
        <w:tc>
          <w:tcPr>
            <w:tcW w:type="dxa" w:w="1814"/>
          </w:tcPr>
          <w:p>
            <w:pPr>
              <w:spacing w:after="0"/>
            </w:pPr>
          </w:p>
        </w:tc>
        <w:tc>
          <w:tcPr>
            <w:tcW w:type="dxa" w:w="1020"/>
          </w:tcPr>
          <w:p>
            <w:pPr>
              <w:spacing w:after="0"/>
            </w:pPr>
          </w:p>
        </w:tc>
        <w:tc>
          <w:tcPr>
            <w:tcW w:type="dxa" w:w="1247"/>
          </w:tcPr>
          <w:p>
            <w:pPr>
              <w:spacing w:after="0"/>
            </w:pPr>
          </w:p>
        </w:tc>
        <w:tc>
          <w:tcPr>
            <w:tcW w:type="dxa" w:w="1361"/>
          </w:tcPr>
          <w:p>
            <w:pPr>
              <w:spacing w:after="0"/>
            </w:pPr>
          </w:p>
        </w:tc>
        <w:tc>
          <w:tcPr>
            <w:tcW w:type="dxa" w:w="2268"/>
          </w:tcPr>
          <w:p>
            <w:pPr>
              <w:spacing w:after="0"/>
            </w:pPr>
          </w:p>
        </w:tc>
        <w:tc>
          <w:tcPr>
            <w:tcW w:type="dxa" w:w="1928"/>
          </w:tcPr>
          <w:p>
            <w:pPr>
              <w:spacing w:after="0"/>
            </w:pPr>
          </w:p>
        </w:tc>
      </w:tr>
      <w:tr>
        <w:trPr>
          <w:cantSplit w:val="true"/>
          <w:trHeight w:val="454"/>
        </w:trPr>
        <w:tc>
          <w:tcPr>
            <w:tcW w:type="dxa" w:w="1814"/>
          </w:tcPr>
          <w:p>
            <w:pPr>
              <w:spacing w:after="0"/>
            </w:pPr>
          </w:p>
        </w:tc>
        <w:tc>
          <w:tcPr>
            <w:tcW w:type="dxa" w:w="1020"/>
          </w:tcPr>
          <w:p>
            <w:pPr>
              <w:spacing w:after="0"/>
            </w:pPr>
          </w:p>
        </w:tc>
        <w:tc>
          <w:tcPr>
            <w:tcW w:type="dxa" w:w="1247"/>
          </w:tcPr>
          <w:p>
            <w:pPr>
              <w:spacing w:after="0"/>
            </w:pPr>
          </w:p>
        </w:tc>
        <w:tc>
          <w:tcPr>
            <w:tcW w:type="dxa" w:w="1361"/>
          </w:tcPr>
          <w:p>
            <w:pPr>
              <w:spacing w:after="0"/>
            </w:pPr>
          </w:p>
        </w:tc>
        <w:tc>
          <w:tcPr>
            <w:tcW w:type="dxa" w:w="2268"/>
          </w:tcPr>
          <w:p>
            <w:pPr>
              <w:spacing w:after="0"/>
            </w:pPr>
          </w:p>
        </w:tc>
        <w:tc>
          <w:tcPr>
            <w:tcW w:type="dxa" w:w="1928"/>
          </w:tcPr>
          <w:p>
            <w:pPr>
              <w:spacing w:after="0"/>
            </w:pPr>
          </w:p>
        </w:tc>
      </w:tr>
    </w:tbl>
    <w:p>
      <w:pPr>
        <w:pStyle w:val="Heading1"/>
      </w:pPr>
      <w:r>
        <w:t>Part C · Connection list (C-06)</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2608"/>
        <w:gridCol w:w="2154"/>
        <w:gridCol w:w="3175"/>
        <w:gridCol w:w="1701"/>
      </w:tblGrid>
      <w:tr>
        <w:trPr>
          <w:cantSplit w:val="true"/>
          <w:tblHeader w:val="true"/>
        </w:trPr>
        <w:tc>
          <w:tcPr>
            <w:tcW w:type="dxa" w:w="2608"/>
            <w:shd w:val="clear" w:color="auto" w:fill="EEF2F6"/>
          </w:tcPr>
          <w:p>
            <w:pPr>
              <w:spacing w:after="0"/>
            </w:pPr>
            <w:r>
              <w:rPr>
                <w:b/>
                <w:i w:val="0"/>
                <w:color w:val="586676"/>
                <w:sz w:val="16"/>
              </w:rPr>
              <w:t>Destination (host, address)</w:t>
            </w:r>
          </w:p>
        </w:tc>
        <w:tc>
          <w:tcPr>
            <w:tcW w:type="dxa" w:w="2154"/>
            <w:shd w:val="clear" w:color="auto" w:fill="EEF2F6"/>
          </w:tcPr>
          <w:p>
            <w:pPr>
              <w:spacing w:after="0"/>
            </w:pPr>
            <w:r>
              <w:rPr>
                <w:b/>
                <w:i w:val="0"/>
                <w:color w:val="586676"/>
                <w:sz w:val="16"/>
              </w:rPr>
              <w:t>Purpose</w:t>
            </w:r>
          </w:p>
        </w:tc>
        <w:tc>
          <w:tcPr>
            <w:tcW w:type="dxa" w:w="3175"/>
            <w:shd w:val="clear" w:color="auto" w:fill="EEF2F6"/>
          </w:tcPr>
          <w:p>
            <w:pPr>
              <w:spacing w:after="0"/>
            </w:pPr>
            <w:r>
              <w:rPr>
                <w:b/>
                <w:i w:val="0"/>
                <w:color w:val="586676"/>
                <w:sz w:val="16"/>
              </w:rPr>
              <w:t>Data sent</w:t>
            </w:r>
          </w:p>
        </w:tc>
        <w:tc>
          <w:tcPr>
            <w:tcW w:type="dxa" w:w="1701"/>
            <w:shd w:val="clear" w:color="auto" w:fill="EEF2F6"/>
          </w:tcPr>
          <w:p>
            <w:pPr>
              <w:spacing w:after="0"/>
            </w:pPr>
            <w:r>
              <w:rPr>
                <w:b/>
                <w:i w:val="0"/>
                <w:color w:val="586676"/>
                <w:sz w:val="16"/>
              </w:rPr>
              <w:t>Contains content?</w:t>
            </w:r>
          </w:p>
        </w:tc>
      </w:tr>
      <w:tr>
        <w:trPr>
          <w:cantSplit w:val="true"/>
          <w:trHeight w:val="454"/>
        </w:trPr>
        <w:tc>
          <w:tcPr>
            <w:tcW w:type="dxa" w:w="2608"/>
          </w:tcPr>
          <w:p>
            <w:pPr>
              <w:spacing w:after="0"/>
            </w:pPr>
          </w:p>
        </w:tc>
        <w:tc>
          <w:tcPr>
            <w:tcW w:type="dxa" w:w="2154"/>
          </w:tcPr>
          <w:p>
            <w:pPr>
              <w:spacing w:after="0"/>
            </w:pPr>
          </w:p>
        </w:tc>
        <w:tc>
          <w:tcPr>
            <w:tcW w:type="dxa" w:w="3175"/>
          </w:tcPr>
          <w:p>
            <w:pPr>
              <w:spacing w:after="0"/>
            </w:pPr>
          </w:p>
        </w:tc>
        <w:tc>
          <w:tcPr>
            <w:tcW w:type="dxa" w:w="1701"/>
          </w:tcPr>
          <w:p>
            <w:pPr>
              <w:spacing w:after="0"/>
            </w:pPr>
            <w:r>
              <w:rPr>
                <w:b w:val="0"/>
                <w:i w:val="0"/>
              </w:rPr>
              <w:t>☐ yes ☐ no</w:t>
            </w:r>
          </w:p>
        </w:tc>
      </w:tr>
      <w:tr>
        <w:trPr>
          <w:cantSplit w:val="true"/>
          <w:trHeight w:val="454"/>
        </w:trPr>
        <w:tc>
          <w:tcPr>
            <w:tcW w:type="dxa" w:w="2608"/>
          </w:tcPr>
          <w:p>
            <w:pPr>
              <w:spacing w:after="0"/>
            </w:pPr>
          </w:p>
        </w:tc>
        <w:tc>
          <w:tcPr>
            <w:tcW w:type="dxa" w:w="2154"/>
          </w:tcPr>
          <w:p>
            <w:pPr>
              <w:spacing w:after="0"/>
            </w:pPr>
          </w:p>
        </w:tc>
        <w:tc>
          <w:tcPr>
            <w:tcW w:type="dxa" w:w="3175"/>
          </w:tcPr>
          <w:p>
            <w:pPr>
              <w:spacing w:after="0"/>
            </w:pPr>
          </w:p>
        </w:tc>
        <w:tc>
          <w:tcPr>
            <w:tcW w:type="dxa" w:w="1701"/>
          </w:tcPr>
          <w:p>
            <w:pPr>
              <w:spacing w:after="0"/>
            </w:pPr>
            <w:r>
              <w:rPr>
                <w:b w:val="0"/>
                <w:i w:val="0"/>
              </w:rPr>
              <w:t>☐ yes ☐ no</w:t>
            </w:r>
          </w:p>
        </w:tc>
      </w:tr>
      <w:tr>
        <w:trPr>
          <w:cantSplit w:val="true"/>
          <w:trHeight w:val="454"/>
        </w:trPr>
        <w:tc>
          <w:tcPr>
            <w:tcW w:type="dxa" w:w="2608"/>
          </w:tcPr>
          <w:p>
            <w:pPr>
              <w:spacing w:after="0"/>
            </w:pPr>
          </w:p>
        </w:tc>
        <w:tc>
          <w:tcPr>
            <w:tcW w:type="dxa" w:w="2154"/>
          </w:tcPr>
          <w:p>
            <w:pPr>
              <w:spacing w:after="0"/>
            </w:pPr>
          </w:p>
        </w:tc>
        <w:tc>
          <w:tcPr>
            <w:tcW w:type="dxa" w:w="3175"/>
          </w:tcPr>
          <w:p>
            <w:pPr>
              <w:spacing w:after="0"/>
            </w:pPr>
          </w:p>
        </w:tc>
        <w:tc>
          <w:tcPr>
            <w:tcW w:type="dxa" w:w="1701"/>
          </w:tcPr>
          <w:p>
            <w:pPr>
              <w:spacing w:after="0"/>
            </w:pPr>
            <w:r>
              <w:rPr>
                <w:b w:val="0"/>
                <w:i w:val="0"/>
              </w:rPr>
              <w:t>☐ yes ☐ no</w:t>
            </w:r>
          </w:p>
        </w:tc>
      </w:tr>
      <w:tr>
        <w:trPr>
          <w:cantSplit w:val="true"/>
          <w:trHeight w:val="454"/>
        </w:trPr>
        <w:tc>
          <w:tcPr>
            <w:tcW w:type="dxa" w:w="2608"/>
          </w:tcPr>
          <w:p>
            <w:pPr>
              <w:spacing w:after="0"/>
            </w:pPr>
          </w:p>
        </w:tc>
        <w:tc>
          <w:tcPr>
            <w:tcW w:type="dxa" w:w="2154"/>
          </w:tcPr>
          <w:p>
            <w:pPr>
              <w:spacing w:after="0"/>
            </w:pPr>
          </w:p>
        </w:tc>
        <w:tc>
          <w:tcPr>
            <w:tcW w:type="dxa" w:w="3175"/>
          </w:tcPr>
          <w:p>
            <w:pPr>
              <w:spacing w:after="0"/>
            </w:pPr>
          </w:p>
        </w:tc>
        <w:tc>
          <w:tcPr>
            <w:tcW w:type="dxa" w:w="1701"/>
          </w:tcPr>
          <w:p>
            <w:pPr>
              <w:spacing w:after="0"/>
            </w:pPr>
            <w:r>
              <w:rPr>
                <w:b w:val="0"/>
                <w:i w:val="0"/>
              </w:rPr>
              <w:t>☐ yes ☐ no</w:t>
            </w:r>
          </w:p>
        </w:tc>
      </w:tr>
      <w:tr>
        <w:trPr>
          <w:cantSplit w:val="true"/>
          <w:trHeight w:val="454"/>
        </w:trPr>
        <w:tc>
          <w:tcPr>
            <w:tcW w:type="dxa" w:w="2608"/>
          </w:tcPr>
          <w:p>
            <w:pPr>
              <w:spacing w:after="0"/>
            </w:pPr>
          </w:p>
        </w:tc>
        <w:tc>
          <w:tcPr>
            <w:tcW w:type="dxa" w:w="2154"/>
          </w:tcPr>
          <w:p>
            <w:pPr>
              <w:spacing w:after="0"/>
            </w:pPr>
          </w:p>
        </w:tc>
        <w:tc>
          <w:tcPr>
            <w:tcW w:type="dxa" w:w="3175"/>
          </w:tcPr>
          <w:p>
            <w:pPr>
              <w:spacing w:after="0"/>
            </w:pPr>
          </w:p>
        </w:tc>
        <w:tc>
          <w:tcPr>
            <w:tcW w:type="dxa" w:w="1701"/>
          </w:tcPr>
          <w:p>
            <w:pPr>
              <w:spacing w:after="0"/>
            </w:pPr>
            <w:r>
              <w:rPr>
                <w:b w:val="0"/>
                <w:i w:val="0"/>
              </w:rPr>
              <w:t>☐ yes ☐ no</w:t>
            </w:r>
          </w:p>
        </w:tc>
      </w:tr>
      <w:tr>
        <w:trPr>
          <w:cantSplit w:val="true"/>
          <w:trHeight w:val="454"/>
        </w:trPr>
        <w:tc>
          <w:tcPr>
            <w:tcW w:type="dxa" w:w="2608"/>
          </w:tcPr>
          <w:p>
            <w:pPr>
              <w:spacing w:after="0"/>
            </w:pPr>
          </w:p>
        </w:tc>
        <w:tc>
          <w:tcPr>
            <w:tcW w:type="dxa" w:w="2154"/>
          </w:tcPr>
          <w:p>
            <w:pPr>
              <w:spacing w:after="0"/>
            </w:pPr>
          </w:p>
        </w:tc>
        <w:tc>
          <w:tcPr>
            <w:tcW w:type="dxa" w:w="3175"/>
          </w:tcPr>
          <w:p>
            <w:pPr>
              <w:spacing w:after="0"/>
            </w:pPr>
          </w:p>
        </w:tc>
        <w:tc>
          <w:tcPr>
            <w:tcW w:type="dxa" w:w="1701"/>
          </w:tcPr>
          <w:p>
            <w:pPr>
              <w:spacing w:after="0"/>
            </w:pPr>
            <w:r>
              <w:rPr>
                <w:b w:val="0"/>
                <w:i w:val="0"/>
              </w:rPr>
              <w:t>☐ yes ☐ no</w:t>
            </w:r>
          </w:p>
        </w:tc>
      </w:tr>
      <w:tr>
        <w:trPr>
          <w:cantSplit w:val="true"/>
          <w:trHeight w:val="454"/>
        </w:trPr>
        <w:tc>
          <w:tcPr>
            <w:tcW w:type="dxa" w:w="2608"/>
          </w:tcPr>
          <w:p>
            <w:pPr>
              <w:spacing w:after="0"/>
            </w:pPr>
          </w:p>
        </w:tc>
        <w:tc>
          <w:tcPr>
            <w:tcW w:type="dxa" w:w="2154"/>
          </w:tcPr>
          <w:p>
            <w:pPr>
              <w:spacing w:after="0"/>
            </w:pPr>
          </w:p>
        </w:tc>
        <w:tc>
          <w:tcPr>
            <w:tcW w:type="dxa" w:w="3175"/>
          </w:tcPr>
          <w:p>
            <w:pPr>
              <w:spacing w:after="0"/>
            </w:pPr>
          </w:p>
        </w:tc>
        <w:tc>
          <w:tcPr>
            <w:tcW w:type="dxa" w:w="1701"/>
          </w:tcPr>
          <w:p>
            <w:pPr>
              <w:spacing w:after="0"/>
            </w:pPr>
            <w:r>
              <w:rPr>
                <w:b w:val="0"/>
                <w:i w:val="0"/>
              </w:rPr>
              <w:t>☐ yes ☐ no</w:t>
            </w:r>
          </w:p>
        </w:tc>
      </w:tr>
      <w:tr>
        <w:trPr>
          <w:cantSplit w:val="true"/>
          <w:trHeight w:val="454"/>
        </w:trPr>
        <w:tc>
          <w:tcPr>
            <w:tcW w:type="dxa" w:w="2608"/>
          </w:tcPr>
          <w:p>
            <w:pPr>
              <w:spacing w:after="0"/>
            </w:pPr>
          </w:p>
        </w:tc>
        <w:tc>
          <w:tcPr>
            <w:tcW w:type="dxa" w:w="2154"/>
          </w:tcPr>
          <w:p>
            <w:pPr>
              <w:spacing w:after="0"/>
            </w:pPr>
          </w:p>
        </w:tc>
        <w:tc>
          <w:tcPr>
            <w:tcW w:type="dxa" w:w="3175"/>
          </w:tcPr>
          <w:p>
            <w:pPr>
              <w:spacing w:after="0"/>
            </w:pPr>
          </w:p>
        </w:tc>
        <w:tc>
          <w:tcPr>
            <w:tcW w:type="dxa" w:w="1701"/>
          </w:tcPr>
          <w:p>
            <w:pPr>
              <w:spacing w:after="0"/>
            </w:pPr>
            <w:r>
              <w:rPr>
                <w:b w:val="0"/>
                <w:i w:val="0"/>
              </w:rPr>
              <w:t>☐ yes ☐ no</w:t>
            </w:r>
          </w:p>
        </w:tc>
      </w:tr>
    </w:tbl>
    <w:p>
      <w:pPr>
        <w:pStyle w:val="Heading1"/>
      </w:pPr>
      <w:r>
        <w:t>Part D · Criteria</w:t>
      </w:r>
    </w:p>
    <w:p>
      <w:pPr>
        <w:pStyle w:val="Heading2"/>
      </w:pPr>
      <w:r>
        <w:rPr>
          <w:b w:val="0"/>
          <w:i w:val="0"/>
          <w:color w:val="1C3550"/>
        </w:rPr>
        <w:t>All tiers</w:t>
      </w:r>
    </w:p>
    <w:p>
      <w:pPr>
        <w:pStyle w:val="Heading3"/>
      </w:pPr>
      <w:r>
        <w:rPr>
          <w:b w:val="0"/>
          <w:i w:val="0"/>
          <w:color w:val="1C3550"/>
        </w:rPr>
        <w:t xml:space="preserve">C-01  </w:t>
      </w:r>
      <w:r>
        <w:rPr>
          <w:b w:val="0"/>
          <w:i w:val="0"/>
        </w:rPr>
        <w:t>Disclosure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Where do users learn where AI processing takes place? Please give addresses or screens.</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Addresses (URLs) and screenshots of the statements.</w:t>
            </w:r>
          </w:p>
        </w:tc>
      </w:tr>
    </w:tbl>
    <w:p>
      <w:pPr>
        <w:pStyle w:val="Heading3"/>
      </w:pPr>
      <w:r>
        <w:rPr>
          <w:b w:val="0"/>
          <w:i w:val="0"/>
          <w:color w:val="1C3550"/>
        </w:rPr>
        <w:t xml:space="preserve">C-02  </w:t>
      </w:r>
      <w:r>
        <w:rPr>
          <w:b w:val="0"/>
          <w:i w:val="0"/>
        </w:rPr>
        <w:t>Model inventory</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Which models does the product use, and where do they run?</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Model inventory (table in the self-assessment).</w:t>
            </w:r>
          </w:p>
        </w:tc>
      </w:tr>
    </w:tbl>
    <w:p>
      <w:pPr>
        <w:pStyle w:val="Heading3"/>
      </w:pPr>
      <w:r>
        <w:rPr>
          <w:b w:val="0"/>
          <w:i w:val="0"/>
          <w:color w:val="1C3550"/>
        </w:rPr>
        <w:t xml:space="preserve">C-03  </w:t>
      </w:r>
      <w:r>
        <w:rPr>
          <w:b w:val="0"/>
          <w:i w:val="0"/>
        </w:rPr>
        <w:t>No training on customer data</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Is customer content used for training? Where is this set out in the contract?</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The vendor's terms and, if used, the third-party AI's terms; default settings.</w:t>
            </w:r>
          </w:p>
        </w:tc>
      </w:tr>
    </w:tbl>
    <w:p>
      <w:pPr>
        <w:pStyle w:val="Heading3"/>
      </w:pPr>
      <w:r>
        <w:rPr>
          <w:b w:val="0"/>
          <w:i w:val="0"/>
          <w:color w:val="1C3550"/>
        </w:rPr>
        <w:t xml:space="preserve">C-04  </w:t>
      </w:r>
      <w:r>
        <w:rPr>
          <w:b w:val="0"/>
          <w:i w:val="0"/>
        </w:rPr>
        <w:t>No content in telemetry and logs</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What telemetry, statistics and diagnostic data does the product send?</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Description of all telemetry and diagnostic data sent.</w:t>
            </w:r>
          </w:p>
        </w:tc>
      </w:tr>
    </w:tbl>
    <w:p>
      <w:pPr>
        <w:pStyle w:val="Heading3"/>
      </w:pPr>
      <w:r>
        <w:rPr>
          <w:b w:val="0"/>
          <w:i w:val="0"/>
          <w:color w:val="1C3550"/>
        </w:rPr>
        <w:t xml:space="preserve">C-05  </w:t>
      </w:r>
      <w:r>
        <w:rPr>
          <w:b w:val="0"/>
          <w:i w:val="0"/>
        </w:rPr>
        <w:t>Change notification</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Who at the vendor is responsible for change notifications to NOCIP?</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Signed label agreement.</w:t>
            </w:r>
          </w:p>
        </w:tc>
      </w:tr>
    </w:tbl>
    <w:p>
      <w:pPr>
        <w:pStyle w:val="Heading3"/>
      </w:pPr>
      <w:r>
        <w:rPr>
          <w:b w:val="0"/>
          <w:i w:val="0"/>
          <w:color w:val="1C3550"/>
        </w:rPr>
        <w:t xml:space="preserve">C-06  </w:t>
      </w:r>
      <w:r>
        <w:rPr>
          <w:b w:val="0"/>
          <w:i w:val="0"/>
        </w:rPr>
        <w:t>Connection list</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Which outgoing connections does the product make?</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Connection list (table in the self-assessment).</w:t>
            </w:r>
          </w:p>
        </w:tc>
      </w:tr>
    </w:tbl>
    <w:p>
      <w:pPr>
        <w:pStyle w:val="Heading3"/>
      </w:pPr>
      <w:r>
        <w:rPr>
          <w:b w:val="0"/>
          <w:i w:val="0"/>
          <w:color w:val="1C3550"/>
        </w:rPr>
        <w:t xml:space="preserve">C-07  </w:t>
      </w:r>
      <w:r>
        <w:rPr>
          <w:b w:val="0"/>
          <w:i w:val="0"/>
        </w:rPr>
        <w:t>Data processing agreement</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Do you process your customers' data? If so, which sub-processors have access to AI input or output?</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Data processing agreement template, list of sub-processors.</w:t>
            </w:r>
          </w:p>
        </w:tc>
      </w:tr>
    </w:tbl>
    <w:p>
      <w:pPr>
        <w:pStyle w:val="Heading3"/>
      </w:pPr>
      <w:r>
        <w:rPr>
          <w:b w:val="0"/>
          <w:i w:val="0"/>
          <w:color w:val="1C3550"/>
        </w:rPr>
        <w:t xml:space="preserve">C-08  </w:t>
      </w:r>
      <w:r>
        <w:rPr>
          <w:b w:val="0"/>
          <w:i w:val="0"/>
        </w:rPr>
        <w:t>User-triggered reports</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Can users send you examples? How does the product replace personal data first, and what does the user see before sending?</w:t>
            </w:r>
          </w:p>
        </w:tc>
      </w:tr>
      <w:tr>
        <w:trPr>
          <w:cantSplit w:val="true"/>
        </w:trPr>
        <w:tc>
          <w:tcPr>
            <w:tcW w:type="dxa" w:w="1814"/>
          </w:tcPr>
          <w:p>
            <w:pPr>
              <w:spacing w:after="0"/>
            </w:pPr>
            <w:r>
              <w:rPr>
                <w:b/>
                <w:i w:val="0"/>
              </w:rPr>
              <w:t>Threshold</w:t>
            </w:r>
          </w:p>
        </w:tc>
        <w:tc>
          <w:tcPr>
            <w:tcW w:type="dxa" w:w="7824"/>
          </w:tcPr>
          <w:p>
            <w:pPr>
              <w:spacing w:after="0"/>
            </w:pPr>
            <w:r>
              <w:rPr>
                <w:b w:val="0"/>
                <w:i w:val="0"/>
                <w:color w:val="1C3550"/>
              </w:rPr>
              <w:t>Replaced: ≥ 99 % of structured identifiers (IBAN, e-mail, phone, ID and tax numbers), ≥ 98 % of person names and ≥ 95 % of all canary values – as B-03.</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Description of the report function, screenshots of the preview, purpose stated in the terms.</w:t>
            </w:r>
          </w:p>
        </w:tc>
      </w:tr>
    </w:tbl>
    <w:p>
      <w:pPr>
        <w:pStyle w:val="Heading2"/>
      </w:pPr>
      <w:r>
        <w:rPr>
          <w:b w:val="0"/>
          <w:i w:val="0"/>
          <w:color w:val="946A12"/>
        </w:rPr>
        <w:t>Gold</w:t>
      </w:r>
    </w:p>
    <w:p>
      <w:pPr>
        <w:pStyle w:val="Heading3"/>
      </w:pPr>
      <w:r>
        <w:rPr>
          <w:b w:val="0"/>
          <w:i w:val="0"/>
          <w:color w:val="946A12"/>
        </w:rPr>
        <w:t xml:space="preserve">G-01  </w:t>
      </w:r>
      <w:r>
        <w:rPr>
          <w:b w:val="0"/>
          <w:i w:val="0"/>
        </w:rPr>
        <w:t>Local inference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Where do the models run, and how do they get onto the customer's system?</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Architecture description; location of the model files.</w:t>
            </w:r>
          </w:p>
        </w:tc>
      </w:tr>
    </w:tbl>
    <w:p>
      <w:pPr>
        <w:pStyle w:val="Heading3"/>
      </w:pPr>
      <w:r>
        <w:rPr>
          <w:b w:val="0"/>
          <w:i w:val="0"/>
          <w:color w:val="946A12"/>
        </w:rPr>
        <w:t xml:space="preserve">G-02  </w:t>
      </w:r>
      <w:r>
        <w:rPr>
          <w:b w:val="0"/>
          <w:i w:val="0"/>
        </w:rPr>
        <w:t>Offline operation</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What works without an internet connection, and for how long?</w:t>
            </w:r>
          </w:p>
        </w:tc>
      </w:tr>
      <w:tr>
        <w:trPr>
          <w:cantSplit w:val="true"/>
        </w:trPr>
        <w:tc>
          <w:tcPr>
            <w:tcW w:type="dxa" w:w="1814"/>
          </w:tcPr>
          <w:p>
            <w:pPr>
              <w:spacing w:after="0"/>
            </w:pPr>
            <w:r>
              <w:rPr>
                <w:b/>
                <w:i w:val="0"/>
              </w:rPr>
              <w:t>Threshold</w:t>
            </w:r>
          </w:p>
        </w:tc>
        <w:tc>
          <w:tcPr>
            <w:tcW w:type="dxa" w:w="7824"/>
          </w:tcPr>
          <w:p>
            <w:pPr>
              <w:spacing w:after="0"/>
            </w:pPr>
            <w:r>
              <w:rPr>
                <w:b w:val="0"/>
                <w:i w:val="0"/>
                <w:color w:val="946A12"/>
              </w:rPr>
              <w:t>Continued offline operation ≥ 14 days.</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Description of licence check and updates.</w:t>
            </w:r>
          </w:p>
        </w:tc>
      </w:tr>
    </w:tbl>
    <w:p>
      <w:pPr>
        <w:pStyle w:val="Heading3"/>
      </w:pPr>
      <w:r>
        <w:rPr>
          <w:b w:val="0"/>
          <w:i w:val="0"/>
          <w:color w:val="946A12"/>
        </w:rPr>
        <w:t xml:space="preserve">G-03  </w:t>
      </w:r>
      <w:r>
        <w:rPr>
          <w:b w:val="0"/>
          <w:i w:val="0"/>
        </w:rPr>
        <w:t>Verifiable models</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How can customers check that a model is unaltered?</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Where the checksums or signatures are published.</w:t>
            </w:r>
          </w:p>
        </w:tc>
      </w:tr>
    </w:tbl>
    <w:p>
      <w:pPr>
        <w:pStyle w:val="Heading2"/>
      </w:pPr>
      <w:r>
        <w:rPr>
          <w:b w:val="0"/>
          <w:i w:val="0"/>
          <w:color w:val="5F6B78"/>
        </w:rPr>
        <w:t>Silver</w:t>
      </w:r>
    </w:p>
    <w:p>
      <w:pPr>
        <w:pStyle w:val="Heading3"/>
      </w:pPr>
      <w:r>
        <w:rPr>
          <w:b w:val="0"/>
          <w:i w:val="0"/>
          <w:color w:val="5F6B78"/>
        </w:rPr>
        <w:t xml:space="preserve">S-01  </w:t>
      </w:r>
      <w:r>
        <w:rPr>
          <w:b w:val="0"/>
          <w:i w:val="0"/>
        </w:rPr>
        <w:t>Vendor-operated AI</w:t>
      </w:r>
      <w:r>
        <w:rPr>
          <w:b w:val="0"/>
          <w:i w:val="0"/>
          <w:color w:val="586676"/>
        </w:rPr>
        <w:t xml:space="preserve">  (Variant S-a)</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On which infrastructure do your models run, who operates it, and where is it located?</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Architecture description, hosting contracts, locations.</w:t>
            </w:r>
          </w:p>
        </w:tc>
      </w:tr>
    </w:tbl>
    <w:p>
      <w:pPr>
        <w:pStyle w:val="Heading3"/>
      </w:pPr>
      <w:r>
        <w:rPr>
          <w:b w:val="0"/>
          <w:i w:val="0"/>
          <w:color w:val="5F6B78"/>
        </w:rPr>
        <w:t xml:space="preserve">S-02  </w:t>
      </w:r>
      <w:r>
        <w:rPr>
          <w:b w:val="0"/>
          <w:i w:val="0"/>
        </w:rPr>
        <w:t>Router</w:t>
      </w:r>
      <w:r>
        <w:rPr>
          <w:b w:val="0"/>
          <w:i w:val="0"/>
          <w:color w:val="586676"/>
        </w:rPr>
        <w:t xml:space="preserve">  (Variant S-b)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How does your product decide which requests may go to a third-party AI?</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Description of the router (method, location, categories).</w:t>
            </w:r>
          </w:p>
        </w:tc>
      </w:tr>
    </w:tbl>
    <w:p>
      <w:pPr>
        <w:pStyle w:val="Heading3"/>
      </w:pPr>
      <w:r>
        <w:rPr>
          <w:b w:val="0"/>
          <w:i w:val="0"/>
          <w:color w:val="5F6B78"/>
        </w:rPr>
        <w:t xml:space="preserve">S-03  </w:t>
      </w:r>
      <w:r>
        <w:rPr>
          <w:b w:val="0"/>
          <w:i w:val="0"/>
        </w:rPr>
        <w:t>Router accuracy</w:t>
      </w:r>
      <w:r>
        <w:rPr>
          <w:b w:val="0"/>
          <w:i w:val="0"/>
          <w:color w:val="586676"/>
        </w:rPr>
        <w:t xml:space="preserve">  (Variant S-b)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Have you measured the router? With what result?</w:t>
            </w:r>
          </w:p>
        </w:tc>
      </w:tr>
      <w:tr>
        <w:trPr>
          <w:cantSplit w:val="true"/>
        </w:trPr>
        <w:tc>
          <w:tcPr>
            <w:tcW w:type="dxa" w:w="1814"/>
          </w:tcPr>
          <w:p>
            <w:pPr>
              <w:spacing w:after="0"/>
            </w:pPr>
            <w:r>
              <w:rPr>
                <w:b/>
                <w:i w:val="0"/>
              </w:rPr>
              <w:t>Threshold</w:t>
            </w:r>
          </w:p>
        </w:tc>
        <w:tc>
          <w:tcPr>
            <w:tcW w:type="dxa" w:w="7824"/>
          </w:tcPr>
          <w:p>
            <w:pPr>
              <w:spacing w:after="0"/>
            </w:pPr>
            <w:r>
              <w:rPr>
                <w:b w:val="0"/>
                <w:i w:val="0"/>
                <w:color w:val="5F6B78"/>
              </w:rPr>
              <w:t>Of the test requests containing personal data, at most 0.5 % reach the third-party AI (≥ 99.5 % kept back); for requests containing structured identifiers (IBAN, e-mail, phone, ID and tax numbers), at most 0.1 % (≥ 99.9 %).</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The vendor's own measurements (optional).</w:t>
            </w:r>
          </w:p>
        </w:tc>
      </w:tr>
    </w:tbl>
    <w:p>
      <w:pPr>
        <w:pStyle w:val="Heading3"/>
      </w:pPr>
      <w:r>
        <w:rPr>
          <w:b w:val="0"/>
          <w:i w:val="0"/>
          <w:color w:val="5F6B78"/>
        </w:rPr>
        <w:t xml:space="preserve">S-04  </w:t>
      </w:r>
      <w:r>
        <w:rPr>
          <w:b w:val="0"/>
          <w:i w:val="0"/>
        </w:rPr>
        <w:t>Router fails closed</w:t>
      </w:r>
      <w:r>
        <w:rPr>
          <w:b w:val="0"/>
          <w:i w:val="0"/>
          <w:color w:val="586676"/>
        </w:rPr>
        <w:t xml:space="preserve">  (Variant S-b)</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What happens if the router fails?</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Description of the failure behaviour.</w:t>
            </w:r>
          </w:p>
        </w:tc>
      </w:tr>
    </w:tbl>
    <w:p>
      <w:pPr>
        <w:pStyle w:val="Heading2"/>
      </w:pPr>
      <w:r>
        <w:rPr>
          <w:b w:val="0"/>
          <w:i w:val="0"/>
          <w:color w:val="8E4F1E"/>
        </w:rPr>
        <w:t>Bronze</w:t>
      </w:r>
    </w:p>
    <w:p>
      <w:pPr>
        <w:pStyle w:val="Heading3"/>
      </w:pPr>
      <w:r>
        <w:rPr>
          <w:b w:val="0"/>
          <w:i w:val="0"/>
          <w:color w:val="8E4F1E"/>
        </w:rPr>
        <w:t xml:space="preserve">B-01  </w:t>
      </w:r>
      <w:r>
        <w:rPr>
          <w:b w:val="0"/>
          <w:i w:val="0"/>
        </w:rPr>
        <w:t>Pseudonymisation before transfer</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Where and with what does your product pseudonymise?</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Architecture description of the pseudonymisation step.</w:t>
            </w:r>
          </w:p>
        </w:tc>
      </w:tr>
    </w:tbl>
    <w:p>
      <w:pPr>
        <w:pStyle w:val="Heading3"/>
      </w:pPr>
      <w:r>
        <w:rPr>
          <w:b w:val="0"/>
          <w:i w:val="0"/>
          <w:color w:val="8E4F1E"/>
        </w:rPr>
        <w:t xml:space="preserve">B-02  </w:t>
      </w:r>
      <w:r>
        <w:rPr>
          <w:b w:val="0"/>
          <w:i w:val="0"/>
        </w:rPr>
        <w:t>Categories covered</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Which categories of personal data does your product detect?</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List of categories covered.</w:t>
            </w:r>
          </w:p>
        </w:tc>
      </w:tr>
    </w:tbl>
    <w:p>
      <w:pPr>
        <w:pStyle w:val="Heading3"/>
      </w:pPr>
      <w:r>
        <w:rPr>
          <w:b w:val="0"/>
          <w:i w:val="0"/>
          <w:color w:val="8E4F1E"/>
        </w:rPr>
        <w:t xml:space="preserve">B-03  </w:t>
      </w:r>
      <w:r>
        <w:rPr>
          <w:b w:val="0"/>
          <w:i w:val="0"/>
        </w:rPr>
        <w:t>Detection rate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Have you measured detection? With what result?</w:t>
            </w:r>
          </w:p>
        </w:tc>
      </w:tr>
      <w:tr>
        <w:trPr>
          <w:cantSplit w:val="true"/>
        </w:trPr>
        <w:tc>
          <w:tcPr>
            <w:tcW w:type="dxa" w:w="1814"/>
          </w:tcPr>
          <w:p>
            <w:pPr>
              <w:spacing w:after="0"/>
            </w:pPr>
            <w:r>
              <w:rPr>
                <w:b/>
                <w:i w:val="0"/>
              </w:rPr>
              <w:t>Threshold</w:t>
            </w:r>
          </w:p>
        </w:tc>
        <w:tc>
          <w:tcPr>
            <w:tcW w:type="dxa" w:w="7824"/>
          </w:tcPr>
          <w:p>
            <w:pPr>
              <w:spacing w:after="0"/>
            </w:pPr>
            <w:r>
              <w:rPr>
                <w:b w:val="0"/>
                <w:i w:val="0"/>
                <w:color w:val="8E4F1E"/>
              </w:rPr>
              <w:t>Removed: ≥ 99 % of structured identifiers (IBAN, e-mail, phone, ID and tax numbers), ≥ 98 % of person names and ≥ 95 % of all canary values overall.</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The vendor's own measurements (optional).</w:t>
            </w:r>
          </w:p>
        </w:tc>
      </w:tr>
    </w:tbl>
    <w:p>
      <w:pPr>
        <w:pStyle w:val="Heading3"/>
      </w:pPr>
      <w:r>
        <w:rPr>
          <w:b w:val="0"/>
          <w:i w:val="0"/>
          <w:color w:val="8E4F1E"/>
        </w:rPr>
        <w:t xml:space="preserve">B-04  </w:t>
      </w:r>
      <w:r>
        <w:rPr>
          <w:b w:val="0"/>
          <w:i w:val="0"/>
        </w:rPr>
        <w:t>Mapping table stays</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Where is the mapping table kept, and when is it deleted?</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Description of where the mapping table is stored and when it is deleted.</w:t>
            </w:r>
          </w:p>
        </w:tc>
      </w:tr>
    </w:tbl>
    <w:p>
      <w:pPr>
        <w:pStyle w:val="Heading3"/>
      </w:pPr>
      <w:r>
        <w:rPr>
          <w:b w:val="0"/>
          <w:i w:val="0"/>
          <w:color w:val="8E4F1E"/>
        </w:rPr>
        <w:t xml:space="preserve">B-05  </w:t>
      </w:r>
      <w:r>
        <w:rPr>
          <w:b w:val="0"/>
          <w:i w:val="0"/>
        </w:rPr>
        <w:t>Pseudonymisation fails closed</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What happens if pseudonymisation fails?</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Description of the failure behaviour.</w:t>
            </w:r>
          </w:p>
        </w:tc>
      </w:tr>
    </w:tbl>
    <w:p>
      <w:pPr>
        <w:pStyle w:val="Heading3"/>
      </w:pPr>
      <w:r>
        <w:rPr>
          <w:b w:val="0"/>
          <w:i w:val="0"/>
          <w:color w:val="8E4F1E"/>
        </w:rPr>
        <w:t xml:space="preserve">B-06  </w:t>
      </w:r>
      <w:r>
        <w:rPr>
          <w:b w:val="0"/>
          <w:i w:val="0"/>
        </w:rPr>
        <w:t>Visible to users</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How do users see what is sent to the third-party AI?</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Screenshots of the preview or log.</w:t>
            </w:r>
          </w:p>
        </w:tc>
      </w:tr>
    </w:tbl>
    <w:p>
      <w:pPr>
        <w:pStyle w:val="Heading3"/>
      </w:pPr>
      <w:r>
        <w:rPr>
          <w:b w:val="0"/>
          <w:i w:val="0"/>
          <w:color w:val="8E4F1E"/>
        </w:rPr>
        <w:t xml:space="preserve">B-07  </w:t>
      </w:r>
      <w:r>
        <w:rPr>
          <w:b w:val="0"/>
          <w:i w:val="0"/>
        </w:rPr>
        <w:t>Contract with the third-party AI</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Which third-party AI do you use, in which region, and how long does it keep requests?</w:t>
            </w:r>
          </w:p>
        </w:tc>
      </w:tr>
      <w:tr>
        <w:trPr>
          <w:cantSplit w:val="true"/>
        </w:trPr>
        <w:tc>
          <w:tcPr>
            <w:tcW w:type="dxa" w:w="1814"/>
          </w:tcPr>
          <w:p>
            <w:pPr>
              <w:spacing w:after="0"/>
            </w:pPr>
            <w:r>
              <w:rPr>
                <w:b/>
                <w:i w:val="0"/>
              </w:rPr>
              <w:t>Threshold</w:t>
            </w:r>
          </w:p>
        </w:tc>
        <w:tc>
          <w:tcPr>
            <w:tcW w:type="dxa" w:w="7824"/>
          </w:tcPr>
          <w:p>
            <w:pPr>
              <w:spacing w:after="0"/>
            </w:pPr>
            <w:r>
              <w:rPr>
                <w:b w:val="0"/>
                <w:i w:val="0"/>
                <w:color w:val="8E4F1E"/>
              </w:rPr>
              <w:t>Retention ≤ 30 days.</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Contract or terms of the third-party AI, selected region.</w:t>
            </w:r>
          </w:p>
        </w:tc>
      </w:tr>
    </w:tbl>
    <w:p>
      <w:pPr>
        <w:pStyle w:val="Heading3"/>
      </w:pPr>
      <w:r>
        <w:rPr>
          <w:b w:val="0"/>
          <w:i w:val="0"/>
          <w:color w:val="8E4F1E"/>
        </w:rPr>
        <w:t xml:space="preserve">B-08  </w:t>
      </w:r>
      <w:r>
        <w:rPr>
          <w:b w:val="0"/>
          <w:i w:val="0"/>
        </w:rPr>
        <w:t>Correct wording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7824"/>
      </w:tblGrid>
      <w:tr>
        <w:trPr>
          <w:cantSplit w:val="true"/>
        </w:trPr>
        <w:tc>
          <w:tcPr>
            <w:tcW w:type="dxa" w:w="1814"/>
          </w:tcPr>
          <w:p>
            <w:pPr>
              <w:spacing w:after="0"/>
            </w:pPr>
            <w:r>
              <w:rPr>
                <w:b/>
                <w:i w:val="0"/>
              </w:rPr>
              <w:t>Question</w:t>
            </w:r>
          </w:p>
        </w:tc>
        <w:tc>
          <w:tcPr>
            <w:tcW w:type="dxa" w:w="7824"/>
          </w:tcPr>
          <w:p>
            <w:pPr>
              <w:spacing w:after="0"/>
            </w:pPr>
            <w:r>
              <w:rPr>
                <w:b w:val="0"/>
                <w:i w:val="0"/>
              </w:rPr>
              <w:t>How do you describe pseudonymisation to customers?</w:t>
            </w:r>
          </w:p>
        </w:tc>
      </w:tr>
      <w:tr>
        <w:trPr>
          <w:cantSplit w:val="true"/>
        </w:trPr>
        <w:tc>
          <w:tcPr>
            <w:tcW w:type="dxa" w:w="1814"/>
          </w:tcPr>
          <w:p>
            <w:pPr>
              <w:spacing w:after="0"/>
            </w:pPr>
            <w:r>
              <w:rPr>
                <w:b/>
                <w:i w:val="0"/>
              </w:rPr>
              <w:t>Met</w:t>
            </w:r>
          </w:p>
        </w:tc>
        <w:tc>
          <w:tcPr>
            <w:tcW w:type="dxa" w:w="7824"/>
          </w:tcPr>
          <w:p>
            <w:pPr>
              <w:spacing w:after="0"/>
            </w:pPr>
            <w:r>
              <w:rPr>
                <w:b w:val="0"/>
                <w:i w:val="0"/>
              </w:rPr>
              <w:t>☐ yes   ☐ no   ☐ not applicable</w:t>
            </w:r>
          </w:p>
        </w:tc>
      </w:tr>
      <w:tr>
        <w:trPr>
          <w:cantSplit w:val="true"/>
          <w:trHeight w:val="1247"/>
        </w:trPr>
        <w:tc>
          <w:tcPr>
            <w:tcW w:type="dxa" w:w="1814"/>
          </w:tcPr>
          <w:p>
            <w:pPr>
              <w:spacing w:after="0"/>
            </w:pPr>
            <w:r>
              <w:rPr>
                <w:b/>
                <w:i w:val="0"/>
              </w:rPr>
              <w:t>Answer</w:t>
            </w:r>
          </w:p>
        </w:tc>
        <w:tc>
          <w:tcPr>
            <w:tcW w:type="dxa" w:w="7824"/>
          </w:tcPr>
          <w:p>
            <w:pPr>
              <w:spacing w:after="0"/>
            </w:pPr>
          </w:p>
        </w:tc>
      </w:tr>
      <w:tr>
        <w:trPr>
          <w:cantSplit w:val="true"/>
          <w:trHeight w:val="680"/>
        </w:trPr>
        <w:tc>
          <w:tcPr>
            <w:tcW w:type="dxa" w:w="1814"/>
          </w:tcPr>
          <w:p>
            <w:pPr>
              <w:spacing w:after="0"/>
            </w:pPr>
            <w:r>
              <w:rPr>
                <w:b/>
                <w:i w:val="0"/>
              </w:rPr>
              <w:t>Evidence (files, addresses)</w:t>
            </w:r>
          </w:p>
        </w:tc>
        <w:tc>
          <w:tcPr>
            <w:tcW w:type="dxa" w:w="7824"/>
          </w:tcPr>
          <w:p>
            <w:pPr>
              <w:spacing w:after="0"/>
            </w:pPr>
            <w:r>
              <w:rPr>
                <w:b w:val="0"/>
                <w:i w:val="0"/>
                <w:color w:val="586676"/>
              </w:rPr>
              <w:t>Addresses of product and marketing texts.</w:t>
            </w:r>
          </w:p>
        </w:tc>
      </w:tr>
    </w:tbl>
    <w:p>
      <w:pPr>
        <w:pStyle w:val="Heading1"/>
      </w:pPr>
      <w:r>
        <w:t>Part E · NOCIP index (self-rating)</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814"/>
        <w:gridCol w:w="4195"/>
        <w:gridCol w:w="1474"/>
        <w:gridCol w:w="2154"/>
      </w:tblGrid>
      <w:tr>
        <w:trPr>
          <w:cantSplit w:val="true"/>
          <w:tblHeader w:val="true"/>
        </w:trPr>
        <w:tc>
          <w:tcPr>
            <w:tcW w:type="dxa" w:w="1814"/>
            <w:shd w:val="clear" w:color="auto" w:fill="EEF2F6"/>
          </w:tcPr>
          <w:p>
            <w:pPr>
              <w:spacing w:after="0"/>
            </w:pPr>
            <w:r>
              <w:rPr>
                <w:b/>
                <w:i w:val="0"/>
                <w:color w:val="586676"/>
                <w:sz w:val="16"/>
              </w:rPr>
              <w:t>Group</w:t>
            </w:r>
          </w:p>
        </w:tc>
        <w:tc>
          <w:tcPr>
            <w:tcW w:type="dxa" w:w="4195"/>
            <w:shd w:val="clear" w:color="auto" w:fill="EEF2F6"/>
          </w:tcPr>
          <w:p>
            <w:pPr>
              <w:spacing w:after="0"/>
            </w:pPr>
            <w:r>
              <w:rPr>
                <w:b/>
                <w:i w:val="0"/>
                <w:color w:val="586676"/>
                <w:sz w:val="16"/>
              </w:rPr>
              <w:t>1 point / 2 points</w:t>
            </w:r>
          </w:p>
        </w:tc>
        <w:tc>
          <w:tcPr>
            <w:tcW w:type="dxa" w:w="1474"/>
            <w:shd w:val="clear" w:color="auto" w:fill="EEF2F6"/>
          </w:tcPr>
          <w:p>
            <w:pPr>
              <w:spacing w:after="0"/>
            </w:pPr>
            <w:r>
              <w:rPr>
                <w:b/>
                <w:i w:val="0"/>
                <w:color w:val="586676"/>
                <w:sz w:val="16"/>
              </w:rPr>
              <w:t>Claimed</w:t>
            </w:r>
          </w:p>
        </w:tc>
        <w:tc>
          <w:tcPr>
            <w:tcW w:type="dxa" w:w="2154"/>
            <w:shd w:val="clear" w:color="auto" w:fill="EEF2F6"/>
          </w:tcPr>
          <w:p>
            <w:pPr>
              <w:spacing w:after="0"/>
            </w:pPr>
            <w:r>
              <w:rPr>
                <w:b/>
                <w:i w:val="0"/>
                <w:color w:val="586676"/>
                <w:sz w:val="16"/>
              </w:rPr>
              <w:t>Evidence</w:t>
            </w:r>
          </w:p>
        </w:tc>
      </w:tr>
      <w:tr>
        <w:trPr>
          <w:cantSplit w:val="true"/>
        </w:trPr>
        <w:tc>
          <w:tcPr>
            <w:tcW w:type="dxa" w:w="1814"/>
          </w:tcPr>
          <w:p>
            <w:pPr>
              <w:spacing w:after="0"/>
            </w:pPr>
            <w:r>
              <w:rPr>
                <w:b/>
                <w:i w:val="0"/>
              </w:rPr>
              <w:t>I-1 Transparency</w:t>
            </w:r>
          </w:p>
        </w:tc>
        <w:tc>
          <w:tcPr>
            <w:tcW w:type="dxa" w:w="4195"/>
          </w:tcPr>
          <w:p>
            <w:pPr>
              <w:spacing w:after="40"/>
            </w:pPr>
            <w:r>
              <w:rPr>
                <w:b w:val="0"/>
                <w:i w:val="0"/>
              </w:rPr>
              <w:t>1: A data-flow diagram is published that shows the processing location of every AI function.</w:t>
            </w:r>
          </w:p>
          <w:p>
            <w:pPr>
              <w:spacing w:after="40"/>
            </w:pPr>
            <w:r>
              <w:rPr>
                <w:b w:val="0"/>
                <w:i w:val="0"/>
              </w:rPr>
              <w:t>2: In addition, the product shows for each AI function or request where it is processed.</w:t>
            </w:r>
          </w:p>
        </w:tc>
        <w:tc>
          <w:tcPr>
            <w:tcW w:type="dxa" w:w="1474"/>
          </w:tcPr>
          <w:p>
            <w:pPr>
              <w:spacing w:after="0"/>
            </w:pPr>
            <w:r>
              <w:rPr>
                <w:b w:val="0"/>
                <w:i w:val="0"/>
              </w:rPr>
              <w:t>☐ 0  ☐ 1  ☐ 2</w:t>
            </w:r>
          </w:p>
        </w:tc>
        <w:tc>
          <w:tcPr>
            <w:tcW w:type="dxa" w:w="2154"/>
          </w:tcPr>
          <w:p>
            <w:pPr>
              <w:spacing w:after="0"/>
            </w:pPr>
          </w:p>
        </w:tc>
      </w:tr>
      <w:tr>
        <w:trPr>
          <w:cantSplit w:val="true"/>
        </w:trPr>
        <w:tc>
          <w:tcPr>
            <w:tcW w:type="dxa" w:w="1814"/>
          </w:tcPr>
          <w:p>
            <w:pPr>
              <w:spacing w:after="0"/>
            </w:pPr>
            <w:r>
              <w:rPr>
                <w:b/>
                <w:i w:val="0"/>
              </w:rPr>
              <w:t>I-2 Customer control</w:t>
            </w:r>
          </w:p>
        </w:tc>
        <w:tc>
          <w:tcPr>
            <w:tcW w:type="dxa" w:w="4195"/>
          </w:tcPr>
          <w:p>
            <w:pPr>
              <w:spacing w:after="40"/>
            </w:pPr>
            <w:r>
              <w:rPr>
                <w:b w:val="0"/>
                <w:i w:val="0"/>
              </w:rPr>
              <w:t>1: The customer can switch off every external AI connection; the product then continues with reduced functions. (Gold: met.)</w:t>
            </w:r>
          </w:p>
          <w:p>
            <w:pPr>
              <w:spacing w:after="40"/>
            </w:pPr>
            <w:r>
              <w:rPr>
                <w:b w:val="0"/>
                <w:i w:val="0"/>
              </w:rPr>
              <w:t>2: In addition, all AI functions are available in a variant that runs entirely at the customer's site. (Gold: met.)</w:t>
            </w:r>
          </w:p>
        </w:tc>
        <w:tc>
          <w:tcPr>
            <w:tcW w:type="dxa" w:w="1474"/>
          </w:tcPr>
          <w:p>
            <w:pPr>
              <w:spacing w:after="0"/>
            </w:pPr>
            <w:r>
              <w:rPr>
                <w:b w:val="0"/>
                <w:i w:val="0"/>
              </w:rPr>
              <w:t>☐ 0  ☐ 1  ☐ 2</w:t>
            </w:r>
          </w:p>
        </w:tc>
        <w:tc>
          <w:tcPr>
            <w:tcW w:type="dxa" w:w="2154"/>
          </w:tcPr>
          <w:p>
            <w:pPr>
              <w:spacing w:after="0"/>
            </w:pPr>
          </w:p>
        </w:tc>
      </w:tr>
      <w:tr>
        <w:trPr>
          <w:cantSplit w:val="true"/>
        </w:trPr>
        <w:tc>
          <w:tcPr>
            <w:tcW w:type="dxa" w:w="1814"/>
          </w:tcPr>
          <w:p>
            <w:pPr>
              <w:spacing w:after="0"/>
            </w:pPr>
            <w:r>
              <w:rPr>
                <w:b/>
                <w:i w:val="0"/>
              </w:rPr>
              <w:t>I-3 Data minimisation</w:t>
            </w:r>
          </w:p>
        </w:tc>
        <w:tc>
          <w:tcPr>
            <w:tcW w:type="dxa" w:w="4195"/>
          </w:tcPr>
          <w:p>
            <w:pPr>
              <w:spacing w:after="40"/>
            </w:pPr>
            <w:r>
              <w:rPr>
                <w:b w:val="0"/>
                <w:i w:val="0"/>
              </w:rPr>
              <w:t>1: AI input and output are kept outside the customer for at most 30 days. (Gold: met.)</w:t>
            </w:r>
          </w:p>
          <w:p>
            <w:pPr>
              <w:spacing w:after="40"/>
            </w:pPr>
            <w:r>
              <w:rPr>
                <w:b w:val="0"/>
                <w:i w:val="0"/>
              </w:rPr>
              <w:t>2: In addition, nothing is kept outside the customer beyond processing, and local logs contain content only if the customer switches this on.</w:t>
            </w:r>
          </w:p>
        </w:tc>
        <w:tc>
          <w:tcPr>
            <w:tcW w:type="dxa" w:w="1474"/>
          </w:tcPr>
          <w:p>
            <w:pPr>
              <w:spacing w:after="0"/>
            </w:pPr>
            <w:r>
              <w:rPr>
                <w:b w:val="0"/>
                <w:i w:val="0"/>
              </w:rPr>
              <w:t>☐ 0  ☐ 1  ☐ 2</w:t>
            </w:r>
          </w:p>
        </w:tc>
        <w:tc>
          <w:tcPr>
            <w:tcW w:type="dxa" w:w="2154"/>
          </w:tcPr>
          <w:p>
            <w:pPr>
              <w:spacing w:after="0"/>
            </w:pPr>
          </w:p>
        </w:tc>
      </w:tr>
      <w:tr>
        <w:trPr>
          <w:cantSplit w:val="true"/>
        </w:trPr>
        <w:tc>
          <w:tcPr>
            <w:tcW w:type="dxa" w:w="1814"/>
          </w:tcPr>
          <w:p>
            <w:pPr>
              <w:spacing w:after="0"/>
            </w:pPr>
            <w:r>
              <w:rPr>
                <w:b/>
                <w:i w:val="0"/>
              </w:rPr>
              <w:t>I-4 Integrity</w:t>
            </w:r>
          </w:p>
        </w:tc>
        <w:tc>
          <w:tcPr>
            <w:tcW w:type="dxa" w:w="4195"/>
          </w:tcPr>
          <w:p>
            <w:pPr>
              <w:spacing w:after="40"/>
            </w:pPr>
            <w:r>
              <w:rPr>
                <w:b w:val="0"/>
                <w:i w:val="0"/>
              </w:rPr>
              <w:t>1: The product verifies the signature or checksum of every model before loading it.</w:t>
            </w:r>
          </w:p>
          <w:p>
            <w:pPr>
              <w:spacing w:after="40"/>
            </w:pPr>
            <w:r>
              <w:rPr>
                <w:b w:val="0"/>
                <w:i w:val="0"/>
              </w:rPr>
              <w:t>2: In addition, local stores holding content or mapping tables are encrypted (or set-up with operating-system encryption is documented).</w:t>
            </w:r>
          </w:p>
        </w:tc>
        <w:tc>
          <w:tcPr>
            <w:tcW w:type="dxa" w:w="1474"/>
          </w:tcPr>
          <w:p>
            <w:pPr>
              <w:spacing w:after="0"/>
            </w:pPr>
            <w:r>
              <w:rPr>
                <w:b w:val="0"/>
                <w:i w:val="0"/>
              </w:rPr>
              <w:t>☐ 0  ☐ 1  ☐ 2</w:t>
            </w:r>
          </w:p>
        </w:tc>
        <w:tc>
          <w:tcPr>
            <w:tcW w:type="dxa" w:w="2154"/>
          </w:tcPr>
          <w:p>
            <w:pPr>
              <w:spacing w:after="0"/>
            </w:pPr>
          </w:p>
        </w:tc>
      </w:tr>
      <w:tr>
        <w:trPr>
          <w:cantSplit w:val="true"/>
        </w:trPr>
        <w:tc>
          <w:tcPr>
            <w:tcW w:type="dxa" w:w="1814"/>
          </w:tcPr>
          <w:p>
            <w:pPr>
              <w:spacing w:after="0"/>
            </w:pPr>
            <w:r>
              <w:rPr>
                <w:b/>
                <w:i w:val="0"/>
              </w:rPr>
              <w:t>I-5 Verifiability</w:t>
            </w:r>
          </w:p>
        </w:tc>
        <w:tc>
          <w:tcPr>
            <w:tcW w:type="dxa" w:w="4195"/>
          </w:tcPr>
          <w:p>
            <w:pPr>
              <w:spacing w:after="40"/>
            </w:pPr>
            <w:r>
              <w:rPr>
                <w:b w:val="0"/>
                <w:i w:val="0"/>
              </w:rPr>
              <w:t>1: The customer can view a log of all external AI requests (Gold: of all outgoing connections).</w:t>
            </w:r>
          </w:p>
          <w:p>
            <w:pPr>
              <w:spacing w:after="40"/>
            </w:pPr>
            <w:r>
              <w:rPr>
                <w:b w:val="0"/>
                <w:i w:val="0"/>
              </w:rPr>
              <w:t>2: In addition, the vendor gives NOCIP permanent test access or a test installation for unannounced spot checks.</w:t>
            </w:r>
          </w:p>
        </w:tc>
        <w:tc>
          <w:tcPr>
            <w:tcW w:type="dxa" w:w="1474"/>
          </w:tcPr>
          <w:p>
            <w:pPr>
              <w:spacing w:after="0"/>
            </w:pPr>
            <w:r>
              <w:rPr>
                <w:b w:val="0"/>
                <w:i w:val="0"/>
              </w:rPr>
              <w:t>☐ 0  ☐ 1  ☐ 2</w:t>
            </w:r>
          </w:p>
        </w:tc>
        <w:tc>
          <w:tcPr>
            <w:tcW w:type="dxa" w:w="2154"/>
          </w:tcPr>
          <w:p>
            <w:pPr>
              <w:spacing w:after="0"/>
            </w:pPr>
          </w:p>
        </w:tc>
      </w:tr>
    </w:tbl>
    <w:p>
      <w:pPr>
        <w:pStyle w:val="Heading1"/>
      </w:pPr>
      <w:r>
        <w:t>Part F · Declaration</w:t>
      </w:r>
    </w:p>
    <w:p>
      <w:r>
        <w:rPr>
          <w:b w:val="0"/>
          <w:i w:val="0"/>
        </w:rPr>
        <w:t>We confirm that the information in this self-assessment is complete and correct. We provide NOCIP with a test installation or test access for the audit and report changes to the AI architecture under criterion C-05.</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2835"/>
        <w:gridCol w:w="6804"/>
      </w:tblGrid>
      <w:tr>
        <w:trPr>
          <w:cantSplit w:val="true"/>
          <w:trHeight w:val="624"/>
        </w:trPr>
        <w:tc>
          <w:tcPr>
            <w:tcW w:type="dxa" w:w="2835"/>
          </w:tcPr>
          <w:p>
            <w:pPr>
              <w:spacing w:after="0"/>
            </w:pPr>
            <w:r>
              <w:rPr>
                <w:b/>
                <w:i w:val="0"/>
              </w:rPr>
              <w:t>Place, date</w:t>
            </w:r>
          </w:p>
        </w:tc>
        <w:tc>
          <w:tcPr>
            <w:tcW w:type="dxa" w:w="6803"/>
          </w:tcPr>
          <w:p>
            <w:pPr>
              <w:spacing w:after="0"/>
            </w:pPr>
          </w:p>
        </w:tc>
      </w:tr>
      <w:tr>
        <w:trPr>
          <w:cantSplit w:val="true"/>
          <w:trHeight w:val="624"/>
        </w:trPr>
        <w:tc>
          <w:tcPr>
            <w:tcW w:type="dxa" w:w="2835"/>
          </w:tcPr>
          <w:p>
            <w:pPr>
              <w:spacing w:after="0"/>
            </w:pPr>
            <w:r>
              <w:rPr>
                <w:b/>
                <w:i w:val="0"/>
              </w:rPr>
              <w:t>Name, role</w:t>
            </w:r>
          </w:p>
        </w:tc>
        <w:tc>
          <w:tcPr>
            <w:tcW w:type="dxa" w:w="6803"/>
          </w:tcPr>
          <w:p>
            <w:pPr>
              <w:spacing w:after="0"/>
            </w:pPr>
          </w:p>
        </w:tc>
      </w:tr>
      <w:tr>
        <w:trPr>
          <w:cantSplit w:val="true"/>
          <w:trHeight w:val="624"/>
        </w:trPr>
        <w:tc>
          <w:tcPr>
            <w:tcW w:type="dxa" w:w="2835"/>
          </w:tcPr>
          <w:p>
            <w:pPr>
              <w:spacing w:after="0"/>
            </w:pPr>
            <w:r>
              <w:rPr>
                <w:b/>
                <w:i w:val="0"/>
              </w:rPr>
              <w:t>Signature</w:t>
            </w:r>
          </w:p>
        </w:tc>
        <w:tc>
          <w:tcPr>
            <w:tcW w:type="dxa" w:w="6803"/>
          </w:tcPr>
          <w:p>
            <w:pPr>
              <w:spacing w:after="0"/>
            </w:pPr>
          </w:p>
        </w:tc>
      </w:tr>
    </w:tbl>
    <w:sectPr w:rsidR="00FC693F" w:rsidRPr="0006063C" w:rsidSect="00034616">
      <w:headerReference w:type="default" r:id="rId9"/>
      <w:footerReference w:type="default" r:id="rId10"/>
      <w:pgSz w:w="11906" w:h="16838"/>
      <w:pgMar w:top="1247"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b w:val="0"/>
        <w:i w:val="0"/>
        <w:color w:val="586676"/>
        <w:sz w:val="16"/>
      </w:rPr>
      <w:t>nocip.com</w:t>
    </w:r>
    <w:r>
      <w:rPr>
        <w:b w:val="0"/>
        <w:i w:val="0"/>
        <w:color w:val="586676"/>
        <w:sz w:val="16"/>
      </w:rPr>
      <w:tab/>
      <w:t xml:space="preserve">Page </w:t>
    </w:r>
    <w:r>
      <w:rPr>
        <w:color w:val="586676"/>
        <w:sz w:val="16"/>
      </w:rPr>
      <w:fldChar w:fldCharType="begin"/>
      <w:instrText xml:space="preserve"> PAGE </w:instrText>
      <w:fldChar w:fldCharType="separate"/>
      <w:t>1</w:t>
      <w:fldChar w:fldCharType="end"/>
    </w:r>
    <w:r>
      <w:rPr>
        <w:b w:val="0"/>
        <w:i w:val="0"/>
        <w:color w:val="586676"/>
        <w:sz w:val="16"/>
      </w:rPr>
      <w:t xml:space="preserve"> of </w:t>
    </w:r>
    <w:r>
      <w:rPr>
        <w:color w:val="586676"/>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Pr>
    <w:r>
      <w:rPr>
        <w:b w:val="0"/>
        <w:i w:val="0"/>
        <w:color w:val="586676"/>
        <w:sz w:val="16"/>
      </w:rPr>
      <w:t>NOCIP · Self-Assessment</w:t>
    </w:r>
    <w:r>
      <w:rPr>
        <w:b w:val="0"/>
        <w:i w:val="0"/>
        <w:color w:val="586676"/>
        <w:sz w:val="16"/>
      </w:rPr>
      <w:tab/>
      <w:t>Version 1.0 · Draft · 2026-10-29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88" w:lineRule="auto"/>
    </w:pPr>
    <w:rPr>
      <w:rFonts w:ascii="Public Sans" w:hAnsi="Public Sans" w:cs="Public Sans" w:eastAsia="Public Sans"/>
      <w:color w:val="142231"/>
      <w:sz w:val="19"/>
    </w:rPr>
  </w:style>
  <w:style w:type="paragraph" w:styleId="Header">
    <w:name w:val="header"/>
    <w:basedOn w:val="Normal"/>
    <w:link w:val="HeaderChar"/>
    <w:uiPriority w:val="99"/>
    <w:unhideWhenUsed/>
    <w:rsid w:val="00E618BF"/>
    <w:pPr>
      <w:tabs>
        <w:tab w:val="center" w:pos="4680"/>
        <w:tab w:pos="4680" w:val="clear"/>
        <w:tab w:val="right" w:pos="9360"/>
        <w:tab w:pos="9360" w:val="clear"/>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pos="4680" w:val="clear"/>
        <w:tab w:val="right" w:pos="9360"/>
        <w:tab w:pos="9360" w:val="clear"/>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00"/>
      <w:outlineLvl w:val="0"/>
    </w:pPr>
    <w:rPr>
      <w:rFonts w:ascii="Archivo ExtraBold" w:hAnsi="Archivo ExtraBold" w:cs="Archivo ExtraBold" w:eastAsia="Archivo ExtraBold"/>
      <w:b w:val="0"/>
      <w:bCs/>
      <w:i w:val="0"/>
      <w:color w:val="1C3550"/>
      <w:sz w:val="30"/>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Archivo ExtraBold" w:hAnsi="Archivo ExtraBold" w:cs="Archivo ExtraBold" w:eastAsia="Archivo ExtraBold"/>
      <w:b w:val="0"/>
      <w:bCs/>
      <w:i w:val="0"/>
      <w:color w:val="1C3550"/>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Archivo ExtraBold" w:hAnsi="Archivo ExtraBold" w:cs="Archivo ExtraBold" w:eastAsia="Archivo ExtraBold"/>
      <w:b w:val="0"/>
      <w:bCs/>
      <w:i w:val="0"/>
      <w:color w:val="1C355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chivo ExtraBold" w:hAnsi="Archivo ExtraBold" w:cs="Archivo ExtraBold" w:eastAsia="Archivo ExtraBold"/>
      <w:b w:val="0"/>
      <w:color w:val="14223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