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drawing>
          <wp:inline xmlns:a="http://schemas.openxmlformats.org/drawingml/2006/main" xmlns:pic="http://schemas.openxmlformats.org/drawingml/2006/picture">
            <wp:extent cx="1512000" cy="597240"/>
            <wp:docPr id="1" name="Picture 1"/>
            <wp:cNvGraphicFramePr>
              <a:graphicFrameLocks noChangeAspect="1"/>
            </wp:cNvGraphicFramePr>
            <a:graphic>
              <a:graphicData uri="http://schemas.openxmlformats.org/drawingml/2006/picture">
                <pic:pic>
                  <pic:nvPicPr>
                    <pic:cNvPr id="0" name="nocip-wordmark.png"/>
                    <pic:cNvPicPr/>
                  </pic:nvPicPr>
                  <pic:blipFill>
                    <a:blip r:embed="rId11"/>
                    <a:stretch>
                      <a:fillRect/>
                    </a:stretch>
                  </pic:blipFill>
                  <pic:spPr>
                    <a:xfrm>
                      <a:off x="0" y="0"/>
                      <a:ext cx="1512000" cy="597240"/>
                    </a:xfrm>
                    <a:prstGeom prst="rect"/>
                  </pic:spPr>
                </pic:pic>
              </a:graphicData>
            </a:graphic>
          </wp:inline>
        </w:drawing>
      </w:r>
    </w:p>
    <w:p>
      <w:pPr>
        <w:spacing w:after="560"/>
      </w:pPr>
      <w:r>
        <w:rPr>
          <w:b w:val="0"/>
          <w:i w:val="0"/>
          <w:color w:val="586676"/>
          <w:sz w:val="18"/>
        </w:rPr>
        <w:t>No Cloud Inference on Personal data</w:t>
      </w:r>
    </w:p>
    <w:p>
      <w:pPr>
        <w:pStyle w:val="Title"/>
        <w:spacing w:after="120"/>
      </w:pPr>
      <w:r>
        <w:rPr>
          <w:b w:val="0"/>
          <w:i w:val="0"/>
        </w:rPr>
        <w:t>Criteria Catalogue</w:t>
      </w:r>
    </w:p>
    <w:p>
      <w:pPr>
        <w:spacing w:after="120"/>
      </w:pPr>
      <w:r>
        <w:rPr>
          <w:b w:val="0"/>
          <w:i w:val="0"/>
          <w:color w:val="586676"/>
          <w:sz w:val="22"/>
        </w:rPr>
        <w:t>Requirements and audit procedure for the NOCIP label</w:t>
      </w:r>
    </w:p>
    <w:p>
      <w:pPr>
        <w:spacing w:after="360"/>
      </w:pPr>
      <w:r>
        <w:rPr>
          <w:b w:val="0"/>
          <w:i w:val="0"/>
          <w:color w:val="586676"/>
          <w:sz w:val="18"/>
        </w:rPr>
        <w:t>Version 1.0 · 2026-10-29 · Draft – not yet approved</w:t>
      </w:r>
    </w:p>
    <w:tbl>
      <w:tblPr>
        <w:tblW w:type="auto" w:w="0"/>
        <w:tblLook w:firstColumn="1" w:firstRow="1" w:lastColumn="0" w:lastRow="0" w:noHBand="0" w:noVBand="1" w:val="04A0"/>
      </w:tblPr>
      <w:tblGrid>
        <w:gridCol w:w="3213"/>
        <w:gridCol w:w="3213"/>
        <w:gridCol w:w="3213"/>
      </w:tblGrid>
      <w:tr>
        <w:tc>
          <w:tcPr>
            <w:tcW w:type="dxa" w:w="2268"/>
          </w:tcPr>
          <w:p>
            <w:r>
              <w:drawing>
                <wp:inline xmlns:a="http://schemas.openxmlformats.org/drawingml/2006/main" xmlns:pic="http://schemas.openxmlformats.org/drawingml/2006/picture">
                  <wp:extent cx="1188000" cy="1188000"/>
                  <wp:docPr id="2" name="Picture 2"/>
                  <wp:cNvGraphicFramePr>
                    <a:graphicFrameLocks noChangeAspect="1"/>
                  </wp:cNvGraphicFramePr>
                  <a:graphic>
                    <a:graphicData uri="http://schemas.openxmlformats.org/drawingml/2006/picture">
                      <pic:pic>
                        <pic:nvPicPr>
                          <pic:cNvPr id="0" name="nocip-gold.png"/>
                          <pic:cNvPicPr/>
                        </pic:nvPicPr>
                        <pic:blipFill>
                          <a:blip r:embed="rId12"/>
                          <a:stretch>
                            <a:fillRect/>
                          </a:stretch>
                        </pic:blipFill>
                        <pic:spPr>
                          <a:xfrm>
                            <a:off x="0" y="0"/>
                            <a:ext cx="1188000" cy="1188000"/>
                          </a:xfrm>
                          <a:prstGeom prst="rect"/>
                        </pic:spPr>
                      </pic:pic>
                    </a:graphicData>
                  </a:graphic>
                </wp:inline>
              </w:drawing>
            </w:r>
          </w:p>
        </w:tc>
        <w:tc>
          <w:tcPr>
            <w:tcW w:type="dxa" w:w="2268"/>
          </w:tcPr>
          <w:p>
            <w:r>
              <w:drawing>
                <wp:inline xmlns:a="http://schemas.openxmlformats.org/drawingml/2006/main" xmlns:pic="http://schemas.openxmlformats.org/drawingml/2006/picture">
                  <wp:extent cx="1188000" cy="1188000"/>
                  <wp:docPr id="3" name="Picture 3"/>
                  <wp:cNvGraphicFramePr>
                    <a:graphicFrameLocks noChangeAspect="1"/>
                  </wp:cNvGraphicFramePr>
                  <a:graphic>
                    <a:graphicData uri="http://schemas.openxmlformats.org/drawingml/2006/picture">
                      <pic:pic>
                        <pic:nvPicPr>
                          <pic:cNvPr id="0" name="nocip-silver.png"/>
                          <pic:cNvPicPr/>
                        </pic:nvPicPr>
                        <pic:blipFill>
                          <a:blip r:embed="rId13"/>
                          <a:stretch>
                            <a:fillRect/>
                          </a:stretch>
                        </pic:blipFill>
                        <pic:spPr>
                          <a:xfrm>
                            <a:off x="0" y="0"/>
                            <a:ext cx="1188000" cy="1188000"/>
                          </a:xfrm>
                          <a:prstGeom prst="rect"/>
                        </pic:spPr>
                      </pic:pic>
                    </a:graphicData>
                  </a:graphic>
                </wp:inline>
              </w:drawing>
            </w:r>
          </w:p>
        </w:tc>
        <w:tc>
          <w:tcPr>
            <w:tcW w:type="dxa" w:w="2268"/>
          </w:tcPr>
          <w:p>
            <w:r>
              <w:drawing>
                <wp:inline xmlns:a="http://schemas.openxmlformats.org/drawingml/2006/main" xmlns:pic="http://schemas.openxmlformats.org/drawingml/2006/picture">
                  <wp:extent cx="1188000" cy="1188000"/>
                  <wp:docPr id="4" name="Picture 4"/>
                  <wp:cNvGraphicFramePr>
                    <a:graphicFrameLocks noChangeAspect="1"/>
                  </wp:cNvGraphicFramePr>
                  <a:graphic>
                    <a:graphicData uri="http://schemas.openxmlformats.org/drawingml/2006/picture">
                      <pic:pic>
                        <pic:nvPicPr>
                          <pic:cNvPr id="0" name="nocip-bronze.png"/>
                          <pic:cNvPicPr/>
                        </pic:nvPicPr>
                        <pic:blipFill>
                          <a:blip r:embed="rId14"/>
                          <a:stretch>
                            <a:fillRect/>
                          </a:stretch>
                        </pic:blipFill>
                        <pic:spPr>
                          <a:xfrm>
                            <a:off x="0" y="0"/>
                            <a:ext cx="1188000" cy="1188000"/>
                          </a:xfrm>
                          <a:prstGeom prst="rect"/>
                        </pic:spPr>
                      </pic:pic>
                    </a:graphicData>
                  </a:graphic>
                </wp:inline>
              </w:drawing>
            </w:r>
          </w:p>
        </w:tc>
      </w:tr>
    </w:tbl>
    <w:p>
      <w:pPr>
        <w:spacing w:after="120"/>
      </w:pP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360"/>
        <w:gridCol w:w="1927"/>
        <w:gridCol w:w="6350"/>
      </w:tblGrid>
      <w:tr>
        <w:trPr>
          <w:cantSplit w:val="true"/>
          <w:tblHeader w:val="true"/>
        </w:trPr>
        <w:tc>
          <w:tcPr>
            <w:tcW w:type="dxa" w:w="1361"/>
            <w:shd w:val="clear" w:color="auto" w:fill="EEF2F6"/>
          </w:tcPr>
          <w:p>
            <w:pPr>
              <w:spacing w:after="0"/>
            </w:pPr>
            <w:r>
              <w:rPr>
                <w:b/>
                <w:i w:val="0"/>
                <w:color w:val="586676"/>
                <w:sz w:val="16"/>
              </w:rPr>
              <w:t>Tier</w:t>
            </w:r>
          </w:p>
        </w:tc>
        <w:tc>
          <w:tcPr>
            <w:tcW w:type="dxa" w:w="1928"/>
            <w:shd w:val="clear" w:color="auto" w:fill="EEF2F6"/>
          </w:tcPr>
          <w:p>
            <w:pPr>
              <w:spacing w:after="0"/>
            </w:pPr>
            <w:r>
              <w:rPr>
                <w:b/>
                <w:i w:val="0"/>
                <w:color w:val="586676"/>
                <w:sz w:val="16"/>
              </w:rPr>
              <w:t>Name</w:t>
            </w:r>
          </w:p>
        </w:tc>
        <w:tc>
          <w:tcPr>
            <w:tcW w:type="dxa" w:w="6350"/>
            <w:shd w:val="clear" w:color="auto" w:fill="EEF2F6"/>
          </w:tcPr>
          <w:p>
            <w:pPr>
              <w:spacing w:after="0"/>
            </w:pPr>
            <w:r>
              <w:rPr>
                <w:b/>
                <w:i w:val="0"/>
                <w:color w:val="586676"/>
                <w:sz w:val="16"/>
              </w:rPr>
              <w:t>Meaning</w:t>
            </w:r>
          </w:p>
        </w:tc>
      </w:tr>
      <w:tr>
        <w:trPr>
          <w:cantSplit w:val="true"/>
        </w:trPr>
        <w:tc>
          <w:tcPr>
            <w:tcW w:type="dxa" w:w="1361"/>
          </w:tcPr>
          <w:p>
            <w:pPr>
              <w:spacing w:after="0"/>
            </w:pPr>
            <w:r>
              <w:rPr>
                <w:b/>
                <w:i w:val="0"/>
                <w:color w:val="946A12"/>
              </w:rPr>
              <w:t>Gold</w:t>
            </w:r>
          </w:p>
        </w:tc>
        <w:tc>
          <w:tcPr>
            <w:tcW w:type="dxa" w:w="1928"/>
          </w:tcPr>
          <w:p>
            <w:pPr>
              <w:spacing w:after="0"/>
            </w:pPr>
            <w:r>
              <w:rPr>
                <w:b w:val="0"/>
                <w:i w:val="0"/>
              </w:rPr>
              <w:t>Local AI</w:t>
            </w:r>
          </w:p>
        </w:tc>
        <w:tc>
          <w:tcPr>
            <w:tcW w:type="dxa" w:w="6350"/>
          </w:tcPr>
          <w:p>
            <w:pPr>
              <w:spacing w:after="0"/>
            </w:pPr>
            <w:r>
              <w:rPr>
                <w:b w:val="0"/>
                <w:i w:val="0"/>
              </w:rPr>
              <w:t>The AI runs at the customer's site. Real content never leaves the customer.</w:t>
            </w:r>
          </w:p>
        </w:tc>
      </w:tr>
      <w:tr>
        <w:trPr>
          <w:cantSplit w:val="true"/>
        </w:trPr>
        <w:tc>
          <w:tcPr>
            <w:tcW w:type="dxa" w:w="1361"/>
          </w:tcPr>
          <w:p>
            <w:pPr>
              <w:spacing w:after="0"/>
            </w:pPr>
            <w:r>
              <w:rPr>
                <w:b/>
                <w:i w:val="0"/>
                <w:color w:val="5F6B78"/>
              </w:rPr>
              <w:t>Silver</w:t>
            </w:r>
          </w:p>
        </w:tc>
        <w:tc>
          <w:tcPr>
            <w:tcW w:type="dxa" w:w="1928"/>
          </w:tcPr>
          <w:p>
            <w:pPr>
              <w:spacing w:after="0"/>
            </w:pPr>
            <w:r>
              <w:rPr>
                <w:b w:val="0"/>
                <w:i w:val="0"/>
              </w:rPr>
              <w:t>Hybrid AI</w:t>
            </w:r>
          </w:p>
        </w:tc>
        <w:tc>
          <w:tcPr>
            <w:tcW w:type="dxa" w:w="6350"/>
          </w:tcPr>
          <w:p>
            <w:pPr>
              <w:spacing w:after="0"/>
            </w:pPr>
            <w:r>
              <w:rPr>
                <w:b w:val="0"/>
                <w:i w:val="0"/>
              </w:rPr>
              <w:t>Personal data is seen only by AI run by the customer or by the vendor itself.</w:t>
            </w:r>
          </w:p>
        </w:tc>
      </w:tr>
      <w:tr>
        <w:trPr>
          <w:cantSplit w:val="true"/>
        </w:trPr>
        <w:tc>
          <w:tcPr>
            <w:tcW w:type="dxa" w:w="1361"/>
          </w:tcPr>
          <w:p>
            <w:pPr>
              <w:spacing w:after="0"/>
            </w:pPr>
            <w:r>
              <w:rPr>
                <w:b/>
                <w:i w:val="0"/>
                <w:color w:val="8E4F1E"/>
              </w:rPr>
              <w:t>Bronze</w:t>
            </w:r>
          </w:p>
        </w:tc>
        <w:tc>
          <w:tcPr>
            <w:tcW w:type="dxa" w:w="1928"/>
          </w:tcPr>
          <w:p>
            <w:pPr>
              <w:spacing w:after="0"/>
            </w:pPr>
            <w:r>
              <w:rPr>
                <w:b w:val="0"/>
                <w:i w:val="0"/>
              </w:rPr>
              <w:t>Pseudonymised</w:t>
            </w:r>
          </w:p>
        </w:tc>
        <w:tc>
          <w:tcPr>
            <w:tcW w:type="dxa" w:w="6350"/>
          </w:tcPr>
          <w:p>
            <w:pPr>
              <w:spacing w:after="0"/>
            </w:pPr>
            <w:r>
              <w:rPr>
                <w:b w:val="0"/>
                <w:i w:val="0"/>
              </w:rPr>
              <w:t>A third-party AI receives personal data only in pseudonymised form.</w:t>
            </w:r>
          </w:p>
        </w:tc>
      </w:tr>
    </w:tbl>
    <w:p>
      <w:r>
        <w:br w:type="page"/>
      </w:r>
    </w:p>
    <w:p>
      <w:pPr>
        <w:pStyle w:val="Heading1"/>
      </w:pPr>
      <w:r>
        <w:t>1  Introduction</w:t>
      </w:r>
    </w:p>
    <w:p>
      <w:r>
        <w:rPr>
          <w:b w:val="0"/>
          <w:i w:val="0"/>
        </w:rPr>
        <w:t>This catalogue sets out what a product must meet for the NOCIP label and how be next GmbH audits it. It applies to software installed at the customer's site and to software as a service (SaaS).</w:t>
      </w:r>
    </w:p>
    <w:p>
      <w:r>
        <w:rPr>
          <w:b w:val="0"/>
          <w:i w:val="0"/>
        </w:rPr>
        <w:t>Every criterion has a fixed ID: C for criteria of all tiers, G for Gold, S for Silver, B for Bronze. A label always names the catalogue version it was audited against.</w:t>
      </w:r>
    </w:p>
    <w:p>
      <w:r>
        <w:rPr>
          <w:b w:val="0"/>
          <w:i w:val="0"/>
        </w:rPr>
        <w:t>The tier answers one question: who runs the AI that sees personal data? In addition, the NOCIP index rates the implementation within the tier.</w:t>
      </w:r>
    </w:p>
    <w:p>
      <w:pPr>
        <w:pStyle w:val="Heading1"/>
      </w:pPr>
      <w:r>
        <w:t>2  Definitions</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2381"/>
        <w:gridCol w:w="7257"/>
      </w:tblGrid>
      <w:tr>
        <w:trPr>
          <w:cantSplit w:val="true"/>
          <w:tblHeader w:val="true"/>
        </w:trPr>
        <w:tc>
          <w:tcPr>
            <w:tcW w:type="dxa" w:w="2381"/>
            <w:shd w:val="clear" w:color="auto" w:fill="EEF2F6"/>
          </w:tcPr>
          <w:p>
            <w:pPr>
              <w:spacing w:after="0"/>
            </w:pPr>
            <w:r>
              <w:rPr>
                <w:b/>
                <w:i w:val="0"/>
                <w:color w:val="586676"/>
                <w:sz w:val="16"/>
              </w:rPr>
              <w:t>Term</w:t>
            </w:r>
          </w:p>
        </w:tc>
        <w:tc>
          <w:tcPr>
            <w:tcW w:type="dxa" w:w="7257"/>
            <w:shd w:val="clear" w:color="auto" w:fill="EEF2F6"/>
          </w:tcPr>
          <w:p>
            <w:pPr>
              <w:spacing w:after="0"/>
            </w:pPr>
            <w:r>
              <w:rPr>
                <w:b/>
                <w:i w:val="0"/>
                <w:color w:val="586676"/>
                <w:sz w:val="16"/>
              </w:rPr>
              <w:t>Meaning</w:t>
            </w:r>
          </w:p>
        </w:tc>
      </w:tr>
      <w:tr>
        <w:trPr>
          <w:cantSplit w:val="true"/>
        </w:trPr>
        <w:tc>
          <w:tcPr>
            <w:tcW w:type="dxa" w:w="2381"/>
          </w:tcPr>
          <w:p>
            <w:pPr>
              <w:spacing w:after="0"/>
            </w:pPr>
            <w:r>
              <w:rPr>
                <w:b/>
                <w:i w:val="0"/>
              </w:rPr>
              <w:t>AI function</w:t>
            </w:r>
          </w:p>
        </w:tc>
        <w:tc>
          <w:tcPr>
            <w:tcW w:type="dxa" w:w="7257"/>
          </w:tcPr>
          <w:p>
            <w:pPr>
              <w:spacing w:after="0"/>
            </w:pPr>
            <w:r>
              <w:rPr>
                <w:b w:val="0"/>
                <w:i w:val="0"/>
              </w:rPr>
              <w:t>Any product function whose result is produced by a machine-learning model, e.g. language models, name recognition, classification, speech recognition.</w:t>
            </w:r>
          </w:p>
        </w:tc>
      </w:tr>
      <w:tr>
        <w:trPr>
          <w:cantSplit w:val="true"/>
        </w:trPr>
        <w:tc>
          <w:tcPr>
            <w:tcW w:type="dxa" w:w="2381"/>
          </w:tcPr>
          <w:p>
            <w:pPr>
              <w:spacing w:after="0"/>
            </w:pPr>
            <w:r>
              <w:rPr>
                <w:b/>
                <w:i w:val="0"/>
              </w:rPr>
              <w:t>Inference</w:t>
            </w:r>
          </w:p>
        </w:tc>
        <w:tc>
          <w:tcPr>
            <w:tcW w:type="dxa" w:w="7257"/>
          </w:tcPr>
          <w:p>
            <w:pPr>
              <w:spacing w:after="0"/>
            </w:pPr>
            <w:r>
              <w:rPr>
                <w:b w:val="0"/>
                <w:i w:val="0"/>
              </w:rPr>
              <w:t>Running a model on an input to produce a result.</w:t>
            </w:r>
          </w:p>
        </w:tc>
      </w:tr>
      <w:tr>
        <w:trPr>
          <w:cantSplit w:val="true"/>
        </w:trPr>
        <w:tc>
          <w:tcPr>
            <w:tcW w:type="dxa" w:w="2381"/>
          </w:tcPr>
          <w:p>
            <w:pPr>
              <w:spacing w:after="0"/>
            </w:pPr>
            <w:r>
              <w:rPr>
                <w:b/>
                <w:i w:val="0"/>
              </w:rPr>
              <w:t>Customer</w:t>
            </w:r>
          </w:p>
        </w:tc>
        <w:tc>
          <w:tcPr>
            <w:tcW w:type="dxa" w:w="7257"/>
          </w:tcPr>
          <w:p>
            <w:pPr>
              <w:spacing w:after="0"/>
            </w:pPr>
            <w:r>
              <w:rPr>
                <w:b w:val="0"/>
                <w:i w:val="0"/>
              </w:rPr>
              <w:t>The organisation that uses the product (usually the controller under the GDPR).</w:t>
            </w:r>
          </w:p>
        </w:tc>
      </w:tr>
      <w:tr>
        <w:trPr>
          <w:cantSplit w:val="true"/>
        </w:trPr>
        <w:tc>
          <w:tcPr>
            <w:tcW w:type="dxa" w:w="2381"/>
          </w:tcPr>
          <w:p>
            <w:pPr>
              <w:spacing w:after="0"/>
            </w:pPr>
            <w:r>
              <w:rPr>
                <w:b/>
                <w:i w:val="0"/>
              </w:rPr>
              <w:t>Vendor</w:t>
            </w:r>
          </w:p>
        </w:tc>
        <w:tc>
          <w:tcPr>
            <w:tcW w:type="dxa" w:w="7257"/>
          </w:tcPr>
          <w:p>
            <w:pPr>
              <w:spacing w:after="0"/>
            </w:pPr>
            <w:r>
              <w:rPr>
                <w:b w:val="0"/>
                <w:i w:val="0"/>
              </w:rPr>
              <w:t>The company that offers the product and applies for the NOCIP label.</w:t>
            </w:r>
          </w:p>
        </w:tc>
      </w:tr>
      <w:tr>
        <w:trPr>
          <w:cantSplit w:val="true"/>
        </w:trPr>
        <w:tc>
          <w:tcPr>
            <w:tcW w:type="dxa" w:w="2381"/>
          </w:tcPr>
          <w:p>
            <w:pPr>
              <w:spacing w:after="0"/>
            </w:pPr>
            <w:r>
              <w:rPr>
                <w:b/>
                <w:i w:val="0"/>
              </w:rPr>
              <w:t>Vendor-operated infrastructure</w:t>
            </w:r>
          </w:p>
        </w:tc>
        <w:tc>
          <w:tcPr>
            <w:tcW w:type="dxa" w:w="7257"/>
          </w:tcPr>
          <w:p>
            <w:pPr>
              <w:spacing w:after="0"/>
            </w:pPr>
            <w:r>
              <w:rPr>
                <w:b w:val="0"/>
                <w:i w:val="0"/>
              </w:rPr>
              <w:t>Servers the vendor operates itself or rents for its exclusive use, on which the vendor installs and runs the models itself (e.g. open-weights models on dedicated servers or its own GPU instances).</w:t>
            </w:r>
          </w:p>
        </w:tc>
      </w:tr>
      <w:tr>
        <w:trPr>
          <w:cantSplit w:val="true"/>
        </w:trPr>
        <w:tc>
          <w:tcPr>
            <w:tcW w:type="dxa" w:w="2381"/>
          </w:tcPr>
          <w:p>
            <w:pPr>
              <w:spacing w:after="0"/>
            </w:pPr>
            <w:r>
              <w:rPr>
                <w:b/>
                <w:i w:val="0"/>
              </w:rPr>
              <w:t>Third-party AI</w:t>
            </w:r>
          </w:p>
        </w:tc>
        <w:tc>
          <w:tcPr>
            <w:tcW w:type="dxa" w:w="7257"/>
          </w:tcPr>
          <w:p>
            <w:pPr>
              <w:spacing w:after="0"/>
            </w:pPr>
            <w:r>
              <w:rPr>
                <w:b w:val="0"/>
                <w:i w:val="0"/>
              </w:rPr>
              <w:t>An AI model that neither the customer nor the vendor runs itself and that is reached through a service. This includes a cloud provider's model services in the vendor's own account, even when hosted in the EU.</w:t>
            </w:r>
          </w:p>
        </w:tc>
      </w:tr>
      <w:tr>
        <w:trPr>
          <w:cantSplit w:val="true"/>
        </w:trPr>
        <w:tc>
          <w:tcPr>
            <w:tcW w:type="dxa" w:w="2381"/>
          </w:tcPr>
          <w:p>
            <w:pPr>
              <w:spacing w:after="0"/>
            </w:pPr>
            <w:r>
              <w:rPr>
                <w:b/>
                <w:i w:val="0"/>
              </w:rPr>
              <w:t>Personal data</w:t>
            </w:r>
          </w:p>
        </w:tc>
        <w:tc>
          <w:tcPr>
            <w:tcW w:type="dxa" w:w="7257"/>
          </w:tcPr>
          <w:p>
            <w:pPr>
              <w:spacing w:after="0"/>
            </w:pPr>
            <w:r>
              <w:rPr>
                <w:b w:val="0"/>
                <w:i w:val="0"/>
              </w:rPr>
              <w:t>Any information relating to an identified or identifiable natural person (GDPR Art. 4(1)).</w:t>
            </w:r>
          </w:p>
        </w:tc>
      </w:tr>
      <w:tr>
        <w:trPr>
          <w:cantSplit w:val="true"/>
        </w:trPr>
        <w:tc>
          <w:tcPr>
            <w:tcW w:type="dxa" w:w="2381"/>
          </w:tcPr>
          <w:p>
            <w:pPr>
              <w:spacing w:after="0"/>
            </w:pPr>
            <w:r>
              <w:rPr>
                <w:b/>
                <w:i w:val="0"/>
              </w:rPr>
              <w:t>Pseudonymisation</w:t>
            </w:r>
          </w:p>
        </w:tc>
        <w:tc>
          <w:tcPr>
            <w:tcW w:type="dxa" w:w="7257"/>
          </w:tcPr>
          <w:p>
            <w:pPr>
              <w:spacing w:after="0"/>
            </w:pPr>
            <w:r>
              <w:rPr>
                <w:b w:val="0"/>
                <w:i w:val="0"/>
              </w:rPr>
              <w:t>Replacing personal data with placeholders so that the recipient cannot attribute them to a person without the separately kept mapping table (GDPR Art. 4(5)). Pseudonymised data is not anonymous.</w:t>
            </w:r>
          </w:p>
        </w:tc>
      </w:tr>
      <w:tr>
        <w:trPr>
          <w:cantSplit w:val="true"/>
        </w:trPr>
        <w:tc>
          <w:tcPr>
            <w:tcW w:type="dxa" w:w="2381"/>
          </w:tcPr>
          <w:p>
            <w:pPr>
              <w:spacing w:after="0"/>
            </w:pPr>
            <w:r>
              <w:rPr>
                <w:b/>
                <w:i w:val="0"/>
              </w:rPr>
              <w:t>Router</w:t>
            </w:r>
          </w:p>
        </w:tc>
        <w:tc>
          <w:tcPr>
            <w:tcW w:type="dxa" w:w="7257"/>
          </w:tcPr>
          <w:p>
            <w:pPr>
              <w:spacing w:after="0"/>
            </w:pPr>
            <w:r>
              <w:rPr>
                <w:b w:val="0"/>
                <w:i w:val="0"/>
              </w:rPr>
              <w:t>A processing step that decides for each request whether it contains personal data and, therefore, where it may go.</w:t>
            </w:r>
          </w:p>
        </w:tc>
      </w:tr>
      <w:tr>
        <w:trPr>
          <w:cantSplit w:val="true"/>
        </w:trPr>
        <w:tc>
          <w:tcPr>
            <w:tcW w:type="dxa" w:w="2381"/>
          </w:tcPr>
          <w:p>
            <w:pPr>
              <w:spacing w:after="0"/>
            </w:pPr>
            <w:r>
              <w:rPr>
                <w:b/>
                <w:i w:val="0"/>
              </w:rPr>
              <w:t>Canary value</w:t>
            </w:r>
          </w:p>
        </w:tc>
        <w:tc>
          <w:tcPr>
            <w:tcW w:type="dxa" w:w="7257"/>
          </w:tcPr>
          <w:p>
            <w:pPr>
              <w:spacing w:after="0"/>
            </w:pPr>
            <w:r>
              <w:rPr>
                <w:b w:val="0"/>
                <w:i w:val="0"/>
              </w:rPr>
              <w:t>An invented piece of personal data (name, IBAN, address …) that NOCIP plants in test documents in order to find it again in outgoing traffic.</w:t>
            </w:r>
          </w:p>
        </w:tc>
      </w:tr>
      <w:tr>
        <w:trPr>
          <w:cantSplit w:val="true"/>
        </w:trPr>
        <w:tc>
          <w:tcPr>
            <w:tcW w:type="dxa" w:w="2381"/>
          </w:tcPr>
          <w:p>
            <w:pPr>
              <w:spacing w:after="0"/>
            </w:pPr>
            <w:r>
              <w:rPr>
                <w:b/>
                <w:i w:val="0"/>
              </w:rPr>
              <w:t>NOCIP test corpus</w:t>
            </w:r>
          </w:p>
        </w:tc>
        <w:tc>
          <w:tcPr>
            <w:tcW w:type="dxa" w:w="7257"/>
          </w:tcPr>
          <w:p>
            <w:pPr>
              <w:spacing w:after="0"/>
            </w:pPr>
            <w:r>
              <w:rPr>
                <w:b w:val="0"/>
                <w:i w:val="0"/>
              </w:rPr>
              <w:t>German and English test documents and test requests containing canary values. It is not published and is renewed every year.</w:t>
            </w:r>
          </w:p>
        </w:tc>
      </w:tr>
    </w:tbl>
    <w:p>
      <w:pPr>
        <w:pStyle w:val="Heading1"/>
      </w:pPr>
      <w:r>
        <w:t>3  Tiers</w:t>
      </w:r>
    </w:p>
    <w:p>
      <w:pPr>
        <w:pStyle w:val="Heading2"/>
      </w:pPr>
      <w:r>
        <w:rPr>
          <w:b w:val="0"/>
          <w:i w:val="0"/>
          <w:color w:val="946A12"/>
        </w:rPr>
        <w:t>Gold · Local AI</w:t>
      </w:r>
    </w:p>
    <w:p>
      <w:r>
        <w:rPr>
          <w:b w:val="0"/>
          <w:i w:val="0"/>
        </w:rPr>
        <w:t>All AI functions run on the customer's devices or servers. Neither the vendor nor any third party receives content – except reports the user triggers and that contain only invented data (C-08). The AI functions work without an internet connection.</w:t>
      </w:r>
    </w:p>
    <w:p>
      <w:pPr>
        <w:pStyle w:val="Heading2"/>
      </w:pPr>
      <w:r>
        <w:rPr>
          <w:b w:val="0"/>
          <w:i w:val="0"/>
          <w:color w:val="5F6B78"/>
        </w:rPr>
        <w:t>Silver · Hybrid AI</w:t>
      </w:r>
    </w:p>
    <w:p>
      <w:r>
        <w:rPr>
          <w:b w:val="0"/>
          <w:i w:val="0"/>
        </w:rPr>
        <w:t>AI that processes personal data runs at the customer's site or on infrastructure the vendor operates itself. A third-party AI receives, at most, requests without personal data. Silver has two variants; a product may meet both.</w:t>
      </w:r>
    </w:p>
    <w:p>
      <w:pPr>
        <w:spacing w:after="60"/>
        <w:ind w:left="340" w:hanging="255"/>
      </w:pPr>
      <w:r>
        <w:rPr>
          <w:b w:val="0"/>
          <w:i w:val="0"/>
          <w:color w:val="1C3550"/>
        </w:rPr>
        <w:t xml:space="preserve">– </w:t>
      </w:r>
      <w:r>
        <w:rPr>
          <w:b/>
          <w:i w:val="0"/>
        </w:rPr>
        <w:t xml:space="preserve">S-a · Vendor-operated AI: </w:t>
      </w:r>
      <w:r>
        <w:rPr>
          <w:b w:val="0"/>
          <w:i w:val="0"/>
        </w:rPr>
        <w:t>Software as a service (SaaS) whose models the vendor runs itself.</w:t>
      </w:r>
    </w:p>
    <w:p>
      <w:pPr>
        <w:spacing w:after="60"/>
        <w:ind w:left="340" w:hanging="255"/>
      </w:pPr>
      <w:r>
        <w:rPr>
          <w:b w:val="0"/>
          <w:i w:val="0"/>
          <w:color w:val="1C3550"/>
        </w:rPr>
        <w:t xml:space="preserve">– </w:t>
      </w:r>
      <w:r>
        <w:rPr>
          <w:b/>
          <w:i w:val="0"/>
        </w:rPr>
        <w:t xml:space="preserve">S-b · Local AI with a router: </w:t>
      </w:r>
      <w:r>
        <w:rPr>
          <w:b w:val="0"/>
          <w:i w:val="0"/>
        </w:rPr>
        <w:t>A router sends only requests without personal data to a third-party AI; all others stay local or with the vendor.</w:t>
      </w:r>
    </w:p>
    <w:p>
      <w:pPr>
        <w:pStyle w:val="Heading2"/>
      </w:pPr>
      <w:r>
        <w:rPr>
          <w:b w:val="0"/>
          <w:i w:val="0"/>
          <w:color w:val="8E4F1E"/>
        </w:rPr>
        <w:t>Bronze · Pseudonymised</w:t>
      </w:r>
    </w:p>
    <w:p>
      <w:r>
        <w:rPr>
          <w:b w:val="0"/>
          <w:i w:val="0"/>
        </w:rPr>
        <w:t>A third-party AI is used. Before every transfer, a pseudonymisation step replaces personal data with placeholders. The mapping table never leaves the customer or the vendor.</w:t>
      </w:r>
    </w:p>
    <w:p>
      <w:pPr>
        <w:pStyle w:val="Heading1"/>
      </w:pPr>
      <w:r>
        <w:t>4  Criteria</w:t>
      </w:r>
    </w:p>
    <w:p>
      <w:pPr>
        <w:pStyle w:val="Heading2"/>
      </w:pPr>
      <w:r>
        <w:rPr>
          <w:b w:val="0"/>
          <w:i w:val="0"/>
          <w:color w:val="1C3550"/>
        </w:rPr>
        <w:t>4.1  All tiers</w:t>
      </w:r>
    </w:p>
    <w:p>
      <w:pPr>
        <w:pStyle w:val="Heading3"/>
      </w:pPr>
      <w:r>
        <w:rPr>
          <w:b w:val="0"/>
          <w:i w:val="0"/>
          <w:color w:val="1C3550"/>
        </w:rPr>
        <w:t xml:space="preserve">C-01  </w:t>
      </w:r>
      <w:r>
        <w:rPr>
          <w:b w:val="0"/>
          <w:i w:val="0"/>
        </w:rPr>
        <w:t>Disclosure</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Requirement</w:t>
            </w:r>
          </w:p>
        </w:tc>
        <w:tc>
          <w:tcPr>
            <w:tcW w:type="dxa" w:w="7824"/>
          </w:tcPr>
          <w:p>
            <w:pPr>
              <w:spacing w:after="0"/>
            </w:pPr>
            <w:r>
              <w:rPr>
                <w:b w:val="0"/>
                <w:i w:val="0"/>
              </w:rPr>
              <w:t>The product and the vendor's website state the NOCIP tier and say where AI processing takes place. Users can find this statement before first use (e.g. product page, settings, documentation).</w:t>
            </w:r>
          </w:p>
        </w:tc>
      </w:tr>
      <w:tr>
        <w:trPr>
          <w:cantSplit w:val="true"/>
        </w:trPr>
        <w:tc>
          <w:tcPr>
            <w:tcW w:type="dxa" w:w="1814"/>
          </w:tcPr>
          <w:p>
            <w:pPr>
              <w:spacing w:after="0"/>
            </w:pPr>
            <w:r>
              <w:rPr>
                <w:b/>
                <w:i w:val="0"/>
              </w:rPr>
              <w:t>Evidence</w:t>
            </w:r>
          </w:p>
        </w:tc>
        <w:tc>
          <w:tcPr>
            <w:tcW w:type="dxa" w:w="7824"/>
          </w:tcPr>
          <w:p>
            <w:pPr>
              <w:spacing w:after="0"/>
            </w:pPr>
            <w:r>
              <w:rPr>
                <w:b w:val="0"/>
                <w:i w:val="0"/>
              </w:rPr>
              <w:t>Addresses (URLs) and screenshots of the statements.</w:t>
            </w:r>
          </w:p>
        </w:tc>
      </w:tr>
      <w:tr>
        <w:trPr>
          <w:cantSplit w:val="true"/>
        </w:trPr>
        <w:tc>
          <w:tcPr>
            <w:tcW w:type="dxa" w:w="1814"/>
          </w:tcPr>
          <w:p>
            <w:pPr>
              <w:spacing w:after="0"/>
            </w:pPr>
            <w:r>
              <w:rPr>
                <w:b/>
                <w:i w:val="0"/>
              </w:rPr>
              <w:t>Audit</w:t>
            </w:r>
          </w:p>
        </w:tc>
        <w:tc>
          <w:tcPr>
            <w:tcW w:type="dxa" w:w="7824"/>
          </w:tcPr>
          <w:p>
            <w:pPr>
              <w:spacing w:after="40"/>
            </w:pPr>
            <w:r>
              <w:rPr>
                <w:b w:val="0"/>
                <w:i w:val="0"/>
              </w:rPr>
              <w:t>1. Open the statements on the website and in the product.</w:t>
            </w:r>
          </w:p>
          <w:p>
            <w:pPr>
              <w:spacing w:after="40"/>
            </w:pPr>
            <w:r>
              <w:rPr>
                <w:b w:val="0"/>
                <w:i w:val="0"/>
              </w:rPr>
              <w:t>2. Compare them with the architecture found in the audit.</w:t>
            </w:r>
          </w:p>
        </w:tc>
      </w:tr>
      <w:tr>
        <w:trPr>
          <w:cantSplit w:val="true"/>
        </w:trPr>
        <w:tc>
          <w:tcPr>
            <w:tcW w:type="dxa" w:w="1814"/>
          </w:tcPr>
          <w:p>
            <w:pPr>
              <w:spacing w:after="0"/>
            </w:pPr>
            <w:r>
              <w:rPr>
                <w:b/>
                <w:i w:val="0"/>
              </w:rPr>
              <w:t>Passed if</w:t>
            </w:r>
          </w:p>
        </w:tc>
        <w:tc>
          <w:tcPr>
            <w:tcW w:type="dxa" w:w="7824"/>
          </w:tcPr>
          <w:p>
            <w:pPr>
              <w:spacing w:after="0"/>
            </w:pPr>
            <w:r>
              <w:rPr>
                <w:b w:val="0"/>
                <w:i w:val="0"/>
              </w:rPr>
              <w:t>Statements present, accurate and matching the tier.</w:t>
            </w:r>
          </w:p>
        </w:tc>
      </w:tr>
    </w:tbl>
    <w:p>
      <w:pPr>
        <w:pStyle w:val="Heading3"/>
      </w:pPr>
      <w:r>
        <w:rPr>
          <w:b w:val="0"/>
          <w:i w:val="0"/>
          <w:color w:val="1C3550"/>
        </w:rPr>
        <w:t xml:space="preserve">C-02  </w:t>
      </w:r>
      <w:r>
        <w:rPr>
          <w:b w:val="0"/>
          <w:i w:val="0"/>
        </w:rPr>
        <w:t>Model inventory</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Requirement</w:t>
            </w:r>
          </w:p>
        </w:tc>
        <w:tc>
          <w:tcPr>
            <w:tcW w:type="dxa" w:w="7824"/>
          </w:tcPr>
          <w:p>
            <w:pPr>
              <w:spacing w:after="0"/>
            </w:pPr>
            <w:r>
              <w:rPr>
                <w:b w:val="0"/>
                <w:i w:val="0"/>
              </w:rPr>
              <w:t>The documentation lists every model used for the product's AI functions: name, version, licence, origin and where it runs (customer, vendor or third-party AI, with country).</w:t>
            </w:r>
          </w:p>
        </w:tc>
      </w:tr>
      <w:tr>
        <w:trPr>
          <w:cantSplit w:val="true"/>
        </w:trPr>
        <w:tc>
          <w:tcPr>
            <w:tcW w:type="dxa" w:w="1814"/>
          </w:tcPr>
          <w:p>
            <w:pPr>
              <w:spacing w:after="0"/>
            </w:pPr>
            <w:r>
              <w:rPr>
                <w:b/>
                <w:i w:val="0"/>
              </w:rPr>
              <w:t>Evidence</w:t>
            </w:r>
          </w:p>
        </w:tc>
        <w:tc>
          <w:tcPr>
            <w:tcW w:type="dxa" w:w="7824"/>
          </w:tcPr>
          <w:p>
            <w:pPr>
              <w:spacing w:after="0"/>
            </w:pPr>
            <w:r>
              <w:rPr>
                <w:b w:val="0"/>
                <w:i w:val="0"/>
              </w:rPr>
              <w:t>Model inventory (table in the self-assessment).</w:t>
            </w:r>
          </w:p>
        </w:tc>
      </w:tr>
      <w:tr>
        <w:trPr>
          <w:cantSplit w:val="true"/>
        </w:trPr>
        <w:tc>
          <w:tcPr>
            <w:tcW w:type="dxa" w:w="1814"/>
          </w:tcPr>
          <w:p>
            <w:pPr>
              <w:spacing w:after="0"/>
            </w:pPr>
            <w:r>
              <w:rPr>
                <w:b/>
                <w:i w:val="0"/>
              </w:rPr>
              <w:t>Audit</w:t>
            </w:r>
          </w:p>
        </w:tc>
        <w:tc>
          <w:tcPr>
            <w:tcW w:type="dxa" w:w="7824"/>
          </w:tcPr>
          <w:p>
            <w:pPr>
              <w:spacing w:after="40"/>
            </w:pPr>
            <w:r>
              <w:rPr>
                <w:b w:val="0"/>
                <w:i w:val="0"/>
              </w:rPr>
              <w:t>1. Compare the inventory with installed model files, configuration and observed network traffic.</w:t>
            </w:r>
          </w:p>
        </w:tc>
      </w:tr>
      <w:tr>
        <w:trPr>
          <w:cantSplit w:val="true"/>
        </w:trPr>
        <w:tc>
          <w:tcPr>
            <w:tcW w:type="dxa" w:w="1814"/>
          </w:tcPr>
          <w:p>
            <w:pPr>
              <w:spacing w:after="0"/>
            </w:pPr>
            <w:r>
              <w:rPr>
                <w:b/>
                <w:i w:val="0"/>
              </w:rPr>
              <w:t>Passed if</w:t>
            </w:r>
          </w:p>
        </w:tc>
        <w:tc>
          <w:tcPr>
            <w:tcW w:type="dxa" w:w="7824"/>
          </w:tcPr>
          <w:p>
            <w:pPr>
              <w:spacing w:after="0"/>
            </w:pPr>
            <w:r>
              <w:rPr>
                <w:b w:val="0"/>
                <w:i w:val="0"/>
              </w:rPr>
              <w:t>Inventory complete and consistent.</w:t>
            </w:r>
          </w:p>
        </w:tc>
      </w:tr>
    </w:tbl>
    <w:p>
      <w:pPr>
        <w:pStyle w:val="Heading3"/>
      </w:pPr>
      <w:r>
        <w:rPr>
          <w:b w:val="0"/>
          <w:i w:val="0"/>
          <w:color w:val="1C3550"/>
        </w:rPr>
        <w:t xml:space="preserve">C-03  </w:t>
      </w:r>
      <w:r>
        <w:rPr>
          <w:b w:val="0"/>
          <w:i w:val="0"/>
        </w:rPr>
        <w:t>No training on customer data</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Requirement</w:t>
            </w:r>
          </w:p>
        </w:tc>
        <w:tc>
          <w:tcPr>
            <w:tcW w:type="dxa" w:w="7824"/>
          </w:tcPr>
          <w:p>
            <w:pPr>
              <w:spacing w:after="0"/>
            </w:pPr>
            <w:r>
              <w:rPr>
                <w:b w:val="0"/>
                <w:i w:val="0"/>
              </w:rPr>
              <w:t>Customer content is not used by the vendor or any third party to train or fine-tune models unless the customer explicitly opts in. Opt-in is off by default. Fine-tuning that takes place only on the customer's own systems is allowed.</w:t>
            </w:r>
          </w:p>
        </w:tc>
      </w:tr>
      <w:tr>
        <w:trPr>
          <w:cantSplit w:val="true"/>
        </w:trPr>
        <w:tc>
          <w:tcPr>
            <w:tcW w:type="dxa" w:w="1814"/>
          </w:tcPr>
          <w:p>
            <w:pPr>
              <w:spacing w:after="0"/>
            </w:pPr>
            <w:r>
              <w:rPr>
                <w:b/>
                <w:i w:val="0"/>
              </w:rPr>
              <w:t>Evidence</w:t>
            </w:r>
          </w:p>
        </w:tc>
        <w:tc>
          <w:tcPr>
            <w:tcW w:type="dxa" w:w="7824"/>
          </w:tcPr>
          <w:p>
            <w:pPr>
              <w:spacing w:after="0"/>
            </w:pPr>
            <w:r>
              <w:rPr>
                <w:b w:val="0"/>
                <w:i w:val="0"/>
              </w:rPr>
              <w:t>The vendor's terms and, if used, the third-party AI's terms; default settings.</w:t>
            </w:r>
          </w:p>
        </w:tc>
      </w:tr>
      <w:tr>
        <w:trPr>
          <w:cantSplit w:val="true"/>
        </w:trPr>
        <w:tc>
          <w:tcPr>
            <w:tcW w:type="dxa" w:w="1814"/>
          </w:tcPr>
          <w:p>
            <w:pPr>
              <w:spacing w:after="0"/>
            </w:pPr>
            <w:r>
              <w:rPr>
                <w:b/>
                <w:i w:val="0"/>
              </w:rPr>
              <w:t>Audit</w:t>
            </w:r>
          </w:p>
        </w:tc>
        <w:tc>
          <w:tcPr>
            <w:tcW w:type="dxa" w:w="7824"/>
          </w:tcPr>
          <w:p>
            <w:pPr>
              <w:spacing w:after="40"/>
            </w:pPr>
            <w:r>
              <w:rPr>
                <w:b w:val="0"/>
                <w:i w:val="0"/>
              </w:rPr>
              <w:t>1. Review the terms.</w:t>
            </w:r>
          </w:p>
          <w:p>
            <w:pPr>
              <w:spacing w:after="40"/>
            </w:pPr>
            <w:r>
              <w:rPr>
                <w:b w:val="0"/>
                <w:i w:val="0"/>
              </w:rPr>
              <w:t>2. Check the product's default settings.</w:t>
            </w:r>
          </w:p>
        </w:tc>
      </w:tr>
      <w:tr>
        <w:trPr>
          <w:cantSplit w:val="true"/>
        </w:trPr>
        <w:tc>
          <w:tcPr>
            <w:tcW w:type="dxa" w:w="1814"/>
          </w:tcPr>
          <w:p>
            <w:pPr>
              <w:spacing w:after="0"/>
            </w:pPr>
            <w:r>
              <w:rPr>
                <w:b/>
                <w:i w:val="0"/>
              </w:rPr>
              <w:t>Passed if</w:t>
            </w:r>
          </w:p>
        </w:tc>
        <w:tc>
          <w:tcPr>
            <w:tcW w:type="dxa" w:w="7824"/>
          </w:tcPr>
          <w:p>
            <w:pPr>
              <w:spacing w:after="0"/>
            </w:pPr>
            <w:r>
              <w:rPr>
                <w:b w:val="0"/>
                <w:i w:val="0"/>
              </w:rPr>
              <w:t>No training without explicit opt-in; opt-in off by default.</w:t>
            </w:r>
          </w:p>
        </w:tc>
      </w:tr>
    </w:tbl>
    <w:p>
      <w:pPr>
        <w:pStyle w:val="Heading3"/>
      </w:pPr>
      <w:r>
        <w:rPr>
          <w:b w:val="0"/>
          <w:i w:val="0"/>
          <w:color w:val="1C3550"/>
        </w:rPr>
        <w:t xml:space="preserve">C-04  </w:t>
      </w:r>
      <w:r>
        <w:rPr>
          <w:b w:val="0"/>
          <w:i w:val="0"/>
        </w:rPr>
        <w:t>No content in telemetry and logs</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Requirement</w:t>
            </w:r>
          </w:p>
        </w:tc>
        <w:tc>
          <w:tcPr>
            <w:tcW w:type="dxa" w:w="7824"/>
          </w:tcPr>
          <w:p>
            <w:pPr>
              <w:spacing w:after="0"/>
            </w:pPr>
            <w:r>
              <w:rPr>
                <w:b w:val="0"/>
                <w:i w:val="0"/>
              </w:rPr>
              <w:t>Telemetry, usage statistics, crash reports and remote logs contain no document content, prompts, AI output or personal data taken from processed content.</w:t>
            </w:r>
          </w:p>
        </w:tc>
      </w:tr>
      <w:tr>
        <w:trPr>
          <w:cantSplit w:val="true"/>
        </w:trPr>
        <w:tc>
          <w:tcPr>
            <w:tcW w:type="dxa" w:w="1814"/>
          </w:tcPr>
          <w:p>
            <w:pPr>
              <w:spacing w:after="0"/>
            </w:pPr>
            <w:r>
              <w:rPr>
                <w:b/>
                <w:i w:val="0"/>
              </w:rPr>
              <w:t>Evidence</w:t>
            </w:r>
          </w:p>
        </w:tc>
        <w:tc>
          <w:tcPr>
            <w:tcW w:type="dxa" w:w="7824"/>
          </w:tcPr>
          <w:p>
            <w:pPr>
              <w:spacing w:after="0"/>
            </w:pPr>
            <w:r>
              <w:rPr>
                <w:b w:val="0"/>
                <w:i w:val="0"/>
              </w:rPr>
              <w:t>Description of all telemetry and diagnostic data sent.</w:t>
            </w:r>
          </w:p>
        </w:tc>
      </w:tr>
      <w:tr>
        <w:trPr>
          <w:cantSplit w:val="true"/>
        </w:trPr>
        <w:tc>
          <w:tcPr>
            <w:tcW w:type="dxa" w:w="1814"/>
          </w:tcPr>
          <w:p>
            <w:pPr>
              <w:spacing w:after="0"/>
            </w:pPr>
            <w:r>
              <w:rPr>
                <w:b/>
                <w:i w:val="0"/>
              </w:rPr>
              <w:t>Audit</w:t>
            </w:r>
          </w:p>
        </w:tc>
        <w:tc>
          <w:tcPr>
            <w:tcW w:type="dxa" w:w="7824"/>
          </w:tcPr>
          <w:p>
            <w:pPr>
              <w:spacing w:after="40"/>
            </w:pPr>
            <w:r>
              <w:rPr>
                <w:b w:val="0"/>
                <w:i w:val="0"/>
              </w:rPr>
              <w:t>1. Process test documents containing canary values.</w:t>
            </w:r>
          </w:p>
          <w:p>
            <w:pPr>
              <w:spacing w:after="40"/>
            </w:pPr>
            <w:r>
              <w:rPr>
                <w:b w:val="0"/>
                <w:i w:val="0"/>
              </w:rPr>
              <w:t>2. Capture all outgoing traffic, including crash reports (trigger a crash where possible).</w:t>
            </w:r>
          </w:p>
          <w:p>
            <w:pPr>
              <w:spacing w:after="40"/>
            </w:pPr>
            <w:r>
              <w:rPr>
                <w:b w:val="0"/>
                <w:i w:val="0"/>
              </w:rPr>
              <w:t>3. Search the capture for canary values.</w:t>
            </w:r>
          </w:p>
        </w:tc>
      </w:tr>
      <w:tr>
        <w:trPr>
          <w:cantSplit w:val="true"/>
        </w:trPr>
        <w:tc>
          <w:tcPr>
            <w:tcW w:type="dxa" w:w="1814"/>
          </w:tcPr>
          <w:p>
            <w:pPr>
              <w:spacing w:after="0"/>
            </w:pPr>
            <w:r>
              <w:rPr>
                <w:b/>
                <w:i w:val="0"/>
              </w:rPr>
              <w:t>Passed if</w:t>
            </w:r>
          </w:p>
        </w:tc>
        <w:tc>
          <w:tcPr>
            <w:tcW w:type="dxa" w:w="7824"/>
          </w:tcPr>
          <w:p>
            <w:pPr>
              <w:spacing w:after="0"/>
            </w:pPr>
            <w:r>
              <w:rPr>
                <w:b w:val="0"/>
                <w:i w:val="0"/>
              </w:rPr>
              <w:t>No canary value outside the transfers the tier allows.</w:t>
            </w:r>
          </w:p>
        </w:tc>
      </w:tr>
    </w:tbl>
    <w:p>
      <w:pPr>
        <w:pStyle w:val="Heading3"/>
      </w:pPr>
      <w:r>
        <w:rPr>
          <w:b w:val="0"/>
          <w:i w:val="0"/>
          <w:color w:val="1C3550"/>
        </w:rPr>
        <w:t xml:space="preserve">C-05  </w:t>
      </w:r>
      <w:r>
        <w:rPr>
          <w:b w:val="0"/>
          <w:i w:val="0"/>
        </w:rPr>
        <w:t>Change notification</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Requirement</w:t>
            </w:r>
          </w:p>
        </w:tc>
        <w:tc>
          <w:tcPr>
            <w:tcW w:type="dxa" w:w="7824"/>
          </w:tcPr>
          <w:p>
            <w:pPr>
              <w:spacing w:after="0"/>
            </w:pPr>
            <w:r>
              <w:rPr>
                <w:b w:val="0"/>
                <w:i w:val="0"/>
              </w:rPr>
              <w:t>The vendor reports changes to the AI architecture (new model or model provider, new processing location, new external connection, changed router or pseudonymisation) to NOCIP within 30 days. A change that leads to a lower tier is reported before it goes live.</w:t>
            </w:r>
          </w:p>
        </w:tc>
      </w:tr>
      <w:tr>
        <w:trPr>
          <w:cantSplit w:val="true"/>
        </w:trPr>
        <w:tc>
          <w:tcPr>
            <w:tcW w:type="dxa" w:w="1814"/>
          </w:tcPr>
          <w:p>
            <w:pPr>
              <w:spacing w:after="0"/>
            </w:pPr>
            <w:r>
              <w:rPr>
                <w:b/>
                <w:i w:val="0"/>
              </w:rPr>
              <w:t>Evidence</w:t>
            </w:r>
          </w:p>
        </w:tc>
        <w:tc>
          <w:tcPr>
            <w:tcW w:type="dxa" w:w="7824"/>
          </w:tcPr>
          <w:p>
            <w:pPr>
              <w:spacing w:after="0"/>
            </w:pPr>
            <w:r>
              <w:rPr>
                <w:b w:val="0"/>
                <w:i w:val="0"/>
              </w:rPr>
              <w:t>Signed label agreement.</w:t>
            </w:r>
          </w:p>
        </w:tc>
      </w:tr>
      <w:tr>
        <w:trPr>
          <w:cantSplit w:val="true"/>
        </w:trPr>
        <w:tc>
          <w:tcPr>
            <w:tcW w:type="dxa" w:w="1814"/>
          </w:tcPr>
          <w:p>
            <w:pPr>
              <w:spacing w:after="0"/>
            </w:pPr>
            <w:r>
              <w:rPr>
                <w:b/>
                <w:i w:val="0"/>
              </w:rPr>
              <w:t>Audit</w:t>
            </w:r>
          </w:p>
        </w:tc>
        <w:tc>
          <w:tcPr>
            <w:tcW w:type="dxa" w:w="7824"/>
          </w:tcPr>
          <w:p>
            <w:pPr>
              <w:spacing w:after="40"/>
            </w:pPr>
            <w:r>
              <w:rPr>
                <w:b w:val="0"/>
                <w:i w:val="0"/>
              </w:rPr>
              <w:t>1. Check the label agreement.</w:t>
            </w:r>
          </w:p>
          <w:p>
            <w:pPr>
              <w:spacing w:after="40"/>
            </w:pPr>
            <w:r>
              <w:rPr>
                <w:b w:val="0"/>
                <w:i w:val="0"/>
              </w:rPr>
              <w:t>2. At spot checks and renewal: compare the architecture with the last audit report.</w:t>
            </w:r>
          </w:p>
        </w:tc>
      </w:tr>
      <w:tr>
        <w:trPr>
          <w:cantSplit w:val="true"/>
        </w:trPr>
        <w:tc>
          <w:tcPr>
            <w:tcW w:type="dxa" w:w="1814"/>
          </w:tcPr>
          <w:p>
            <w:pPr>
              <w:spacing w:after="0"/>
            </w:pPr>
            <w:r>
              <w:rPr>
                <w:b/>
                <w:i w:val="0"/>
              </w:rPr>
              <w:t>Passed if</w:t>
            </w:r>
          </w:p>
        </w:tc>
        <w:tc>
          <w:tcPr>
            <w:tcW w:type="dxa" w:w="7824"/>
          </w:tcPr>
          <w:p>
            <w:pPr>
              <w:spacing w:after="0"/>
            </w:pPr>
            <w:r>
              <w:rPr>
                <w:b w:val="0"/>
                <w:i w:val="0"/>
              </w:rPr>
              <w:t>Agreement signed; no unreported changes.</w:t>
            </w:r>
          </w:p>
        </w:tc>
      </w:tr>
    </w:tbl>
    <w:p>
      <w:pPr>
        <w:pStyle w:val="Heading3"/>
      </w:pPr>
      <w:r>
        <w:rPr>
          <w:b w:val="0"/>
          <w:i w:val="0"/>
          <w:color w:val="1C3550"/>
        </w:rPr>
        <w:t xml:space="preserve">C-06  </w:t>
      </w:r>
      <w:r>
        <w:rPr>
          <w:b w:val="0"/>
          <w:i w:val="0"/>
        </w:rPr>
        <w:t>Connection list</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Requirement</w:t>
            </w:r>
          </w:p>
        </w:tc>
        <w:tc>
          <w:tcPr>
            <w:tcW w:type="dxa" w:w="7824"/>
          </w:tcPr>
          <w:p>
            <w:pPr>
              <w:spacing w:after="0"/>
            </w:pPr>
            <w:r>
              <w:rPr>
                <w:b w:val="0"/>
                <w:i w:val="0"/>
              </w:rPr>
              <w:t>The vendor lists every outgoing network connection the product makes (destination, purpose, data sent). Processing the test documents creates no connections outside this list.</w:t>
            </w:r>
          </w:p>
        </w:tc>
      </w:tr>
      <w:tr>
        <w:trPr>
          <w:cantSplit w:val="true"/>
        </w:trPr>
        <w:tc>
          <w:tcPr>
            <w:tcW w:type="dxa" w:w="1814"/>
          </w:tcPr>
          <w:p>
            <w:pPr>
              <w:spacing w:after="0"/>
            </w:pPr>
            <w:r>
              <w:rPr>
                <w:b/>
                <w:i w:val="0"/>
              </w:rPr>
              <w:t>Evidence</w:t>
            </w:r>
          </w:p>
        </w:tc>
        <w:tc>
          <w:tcPr>
            <w:tcW w:type="dxa" w:w="7824"/>
          </w:tcPr>
          <w:p>
            <w:pPr>
              <w:spacing w:after="0"/>
            </w:pPr>
            <w:r>
              <w:rPr>
                <w:b w:val="0"/>
                <w:i w:val="0"/>
              </w:rPr>
              <w:t>Connection list (table in the self-assessment).</w:t>
            </w:r>
          </w:p>
        </w:tc>
      </w:tr>
      <w:tr>
        <w:trPr>
          <w:cantSplit w:val="true"/>
        </w:trPr>
        <w:tc>
          <w:tcPr>
            <w:tcW w:type="dxa" w:w="1814"/>
          </w:tcPr>
          <w:p>
            <w:pPr>
              <w:spacing w:after="0"/>
            </w:pPr>
            <w:r>
              <w:rPr>
                <w:b/>
                <w:i w:val="0"/>
              </w:rPr>
              <w:t>Audit</w:t>
            </w:r>
          </w:p>
        </w:tc>
        <w:tc>
          <w:tcPr>
            <w:tcW w:type="dxa" w:w="7824"/>
          </w:tcPr>
          <w:p>
            <w:pPr>
              <w:spacing w:after="40"/>
            </w:pPr>
            <w:r>
              <w:rPr>
                <w:b w:val="0"/>
                <w:i w:val="0"/>
              </w:rPr>
              <w:t>1. Run the product behind the audit proxy with packet capture.</w:t>
            </w:r>
          </w:p>
          <w:p>
            <w:pPr>
              <w:spacing w:after="40"/>
            </w:pPr>
            <w:r>
              <w:rPr>
                <w:b w:val="0"/>
                <w:i w:val="0"/>
              </w:rPr>
              <w:t>2. Process the test corpus.</w:t>
            </w:r>
          </w:p>
          <w:p>
            <w:pPr>
              <w:spacing w:after="40"/>
            </w:pPr>
            <w:r>
              <w:rPr>
                <w:b w:val="0"/>
                <w:i w:val="0"/>
              </w:rPr>
              <w:t>3. Compare observed connections and DNS queries with the list.</w:t>
            </w:r>
          </w:p>
        </w:tc>
      </w:tr>
      <w:tr>
        <w:trPr>
          <w:cantSplit w:val="true"/>
        </w:trPr>
        <w:tc>
          <w:tcPr>
            <w:tcW w:type="dxa" w:w="1814"/>
          </w:tcPr>
          <w:p>
            <w:pPr>
              <w:spacing w:after="0"/>
            </w:pPr>
            <w:r>
              <w:rPr>
                <w:b/>
                <w:i w:val="0"/>
              </w:rPr>
              <w:t>Passed if</w:t>
            </w:r>
          </w:p>
        </w:tc>
        <w:tc>
          <w:tcPr>
            <w:tcW w:type="dxa" w:w="7824"/>
          </w:tcPr>
          <w:p>
            <w:pPr>
              <w:spacing w:after="0"/>
            </w:pPr>
            <w:r>
              <w:rPr>
                <w:b w:val="0"/>
                <w:i w:val="0"/>
              </w:rPr>
              <w:t>No connection that is not on the list.</w:t>
            </w:r>
          </w:p>
        </w:tc>
      </w:tr>
    </w:tbl>
    <w:p>
      <w:pPr>
        <w:pStyle w:val="Heading3"/>
      </w:pPr>
      <w:r>
        <w:rPr>
          <w:b w:val="0"/>
          <w:i w:val="0"/>
          <w:color w:val="1C3550"/>
        </w:rPr>
        <w:t xml:space="preserve">C-07  </w:t>
      </w:r>
      <w:r>
        <w:rPr>
          <w:b w:val="0"/>
          <w:i w:val="0"/>
        </w:rPr>
        <w:t>Data processing agreement</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Requirement</w:t>
            </w:r>
          </w:p>
        </w:tc>
        <w:tc>
          <w:tcPr>
            <w:tcW w:type="dxa" w:w="7824"/>
          </w:tcPr>
          <w:p>
            <w:pPr>
              <w:spacing w:after="0"/>
            </w:pPr>
            <w:r>
              <w:rPr>
                <w:b w:val="0"/>
                <w:i w:val="0"/>
              </w:rPr>
              <w:t>If the vendor processes customer data (e.g. SaaS, remote support), it offers a data processing agreement under GDPR Art. 28 that names all sub-processors with access to AI input or output. Does not apply if the vendor receives no customer data.</w:t>
            </w:r>
          </w:p>
        </w:tc>
      </w:tr>
      <w:tr>
        <w:trPr>
          <w:cantSplit w:val="true"/>
        </w:trPr>
        <w:tc>
          <w:tcPr>
            <w:tcW w:type="dxa" w:w="1814"/>
          </w:tcPr>
          <w:p>
            <w:pPr>
              <w:spacing w:after="0"/>
            </w:pPr>
            <w:r>
              <w:rPr>
                <w:b/>
                <w:i w:val="0"/>
              </w:rPr>
              <w:t>Evidence</w:t>
            </w:r>
          </w:p>
        </w:tc>
        <w:tc>
          <w:tcPr>
            <w:tcW w:type="dxa" w:w="7824"/>
          </w:tcPr>
          <w:p>
            <w:pPr>
              <w:spacing w:after="0"/>
            </w:pPr>
            <w:r>
              <w:rPr>
                <w:b w:val="0"/>
                <w:i w:val="0"/>
              </w:rPr>
              <w:t>Data processing agreement template, list of sub-processors.</w:t>
            </w:r>
          </w:p>
        </w:tc>
      </w:tr>
      <w:tr>
        <w:trPr>
          <w:cantSplit w:val="true"/>
        </w:trPr>
        <w:tc>
          <w:tcPr>
            <w:tcW w:type="dxa" w:w="1814"/>
          </w:tcPr>
          <w:p>
            <w:pPr>
              <w:spacing w:after="0"/>
            </w:pPr>
            <w:r>
              <w:rPr>
                <w:b/>
                <w:i w:val="0"/>
              </w:rPr>
              <w:t>Audit</w:t>
            </w:r>
          </w:p>
        </w:tc>
        <w:tc>
          <w:tcPr>
            <w:tcW w:type="dxa" w:w="7824"/>
          </w:tcPr>
          <w:p>
            <w:pPr>
              <w:spacing w:after="40"/>
            </w:pPr>
            <w:r>
              <w:rPr>
                <w:b w:val="0"/>
                <w:i w:val="0"/>
              </w:rPr>
              <w:t>1. Review the agreement and the list.</w:t>
            </w:r>
          </w:p>
          <w:p>
            <w:pPr>
              <w:spacing w:after="40"/>
            </w:pPr>
            <w:r>
              <w:rPr>
                <w:b w:val="0"/>
                <w:i w:val="0"/>
              </w:rPr>
              <w:t>2. Compare the list with the model inventory and the connection list.</w:t>
            </w:r>
          </w:p>
        </w:tc>
      </w:tr>
      <w:tr>
        <w:trPr>
          <w:cantSplit w:val="true"/>
        </w:trPr>
        <w:tc>
          <w:tcPr>
            <w:tcW w:type="dxa" w:w="1814"/>
          </w:tcPr>
          <w:p>
            <w:pPr>
              <w:spacing w:after="0"/>
            </w:pPr>
            <w:r>
              <w:rPr>
                <w:b/>
                <w:i w:val="0"/>
              </w:rPr>
              <w:t>Passed if</w:t>
            </w:r>
          </w:p>
        </w:tc>
        <w:tc>
          <w:tcPr>
            <w:tcW w:type="dxa" w:w="7824"/>
          </w:tcPr>
          <w:p>
            <w:pPr>
              <w:spacing w:after="0"/>
            </w:pPr>
            <w:r>
              <w:rPr>
                <w:b w:val="0"/>
                <w:i w:val="0"/>
              </w:rPr>
              <w:t>Agreement available; list complete. Or: the vendor receives no customer data.</w:t>
            </w:r>
          </w:p>
        </w:tc>
      </w:tr>
    </w:tbl>
    <w:p>
      <w:pPr>
        <w:pStyle w:val="Heading3"/>
      </w:pPr>
      <w:r>
        <w:rPr>
          <w:b w:val="0"/>
          <w:i w:val="0"/>
          <w:color w:val="1C3550"/>
        </w:rPr>
        <w:t xml:space="preserve">C-08  </w:t>
      </w:r>
      <w:r>
        <w:rPr>
          <w:b w:val="0"/>
          <w:i w:val="0"/>
        </w:rPr>
        <w:t>User-triggered reports</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Requirement</w:t>
            </w:r>
          </w:p>
        </w:tc>
        <w:tc>
          <w:tcPr>
            <w:tcW w:type="dxa" w:w="7824"/>
          </w:tcPr>
          <w:p>
            <w:pPr>
              <w:spacing w:after="0"/>
            </w:pPr>
            <w:r>
              <w:rPr>
                <w:b w:val="0"/>
                <w:i w:val="0"/>
              </w:rPr>
              <w:t>If the product sends examples to the vendor at the user's request (e.g. to improve recognition), then only like this: (1) the user triggers each report, never automatically and never as a default. (2) The product first replaces personal data with invented data of the same format, without a mapping table. (3) A preview shows exactly what is sent, and the user can change it; words the user keeps in the original are confirmed once more before sending. (4) The vendor uses reports only to improve the product and does not pass them on. Does not apply if the product sends no reports.</w:t>
            </w:r>
          </w:p>
        </w:tc>
      </w:tr>
      <w:tr>
        <w:trPr>
          <w:cantSplit w:val="true"/>
        </w:trPr>
        <w:tc>
          <w:tcPr>
            <w:tcW w:type="dxa" w:w="1814"/>
          </w:tcPr>
          <w:p>
            <w:pPr>
              <w:spacing w:after="0"/>
            </w:pPr>
            <w:r>
              <w:rPr>
                <w:b/>
                <w:i w:val="0"/>
              </w:rPr>
              <w:t>Threshold</w:t>
            </w:r>
          </w:p>
        </w:tc>
        <w:tc>
          <w:tcPr>
            <w:tcW w:type="dxa" w:w="7824"/>
          </w:tcPr>
          <w:p>
            <w:pPr>
              <w:spacing w:after="0"/>
            </w:pPr>
            <w:r>
              <w:rPr>
                <w:b/>
                <w:i w:val="0"/>
                <w:color w:val="1C3550"/>
              </w:rPr>
              <w:t>Replaced: ≥ 99 % of structured identifiers (IBAN, e-mail, phone, ID and tax numbers), ≥ 98 % of person names and ≥ 95 % of all canary values – as B-03.</w:t>
            </w:r>
          </w:p>
        </w:tc>
      </w:tr>
      <w:tr>
        <w:trPr>
          <w:cantSplit w:val="true"/>
        </w:trPr>
        <w:tc>
          <w:tcPr>
            <w:tcW w:type="dxa" w:w="1814"/>
          </w:tcPr>
          <w:p>
            <w:pPr>
              <w:spacing w:after="0"/>
            </w:pPr>
            <w:r>
              <w:rPr>
                <w:b/>
                <w:i w:val="0"/>
              </w:rPr>
              <w:t>Evidence</w:t>
            </w:r>
          </w:p>
        </w:tc>
        <w:tc>
          <w:tcPr>
            <w:tcW w:type="dxa" w:w="7824"/>
          </w:tcPr>
          <w:p>
            <w:pPr>
              <w:spacing w:after="0"/>
            </w:pPr>
            <w:r>
              <w:rPr>
                <w:b w:val="0"/>
                <w:i w:val="0"/>
              </w:rPr>
              <w:t>Description of the report function, screenshots of the preview, purpose stated in the terms.</w:t>
            </w:r>
          </w:p>
        </w:tc>
      </w:tr>
      <w:tr>
        <w:trPr>
          <w:cantSplit w:val="true"/>
        </w:trPr>
        <w:tc>
          <w:tcPr>
            <w:tcW w:type="dxa" w:w="1814"/>
          </w:tcPr>
          <w:p>
            <w:pPr>
              <w:spacing w:after="0"/>
            </w:pPr>
            <w:r>
              <w:rPr>
                <w:b/>
                <w:i w:val="0"/>
              </w:rPr>
              <w:t>Audit</w:t>
            </w:r>
          </w:p>
        </w:tc>
        <w:tc>
          <w:tcPr>
            <w:tcW w:type="dxa" w:w="7824"/>
          </w:tcPr>
          <w:p>
            <w:pPr>
              <w:spacing w:after="40"/>
            </w:pPr>
            <w:r>
              <w:rPr>
                <w:b w:val="0"/>
                <w:i w:val="0"/>
              </w:rPr>
              <w:t>1. Call the report function with texts of the test corpus.</w:t>
            </w:r>
          </w:p>
          <w:p>
            <w:pPr>
              <w:spacing w:after="40"/>
            </w:pPr>
            <w:r>
              <w:rPr>
                <w:b w:val="0"/>
                <w:i w:val="0"/>
              </w:rPr>
              <w:t>2. Capture the reports sent, search them for canary values and compute the rates per group.</w:t>
            </w:r>
          </w:p>
          <w:p>
            <w:pPr>
              <w:spacing w:after="40"/>
            </w:pPr>
            <w:r>
              <w:rPr>
                <w:b w:val="0"/>
                <w:i w:val="0"/>
              </w:rPr>
              <w:t>3. Check that nothing is sent without the user triggering it and that the preview matches what is sent.</w:t>
            </w:r>
          </w:p>
          <w:p>
            <w:pPr>
              <w:spacing w:after="40"/>
            </w:pPr>
            <w:r>
              <w:rPr>
                <w:b w:val="0"/>
                <w:i w:val="0"/>
              </w:rPr>
              <w:t>4. Review the terms on how reports are used.</w:t>
            </w:r>
          </w:p>
        </w:tc>
      </w:tr>
      <w:tr>
        <w:trPr>
          <w:cantSplit w:val="true"/>
        </w:trPr>
        <w:tc>
          <w:tcPr>
            <w:tcW w:type="dxa" w:w="1814"/>
          </w:tcPr>
          <w:p>
            <w:pPr>
              <w:spacing w:after="0"/>
            </w:pPr>
            <w:r>
              <w:rPr>
                <w:b/>
                <w:i w:val="0"/>
              </w:rPr>
              <w:t>Passed if</w:t>
            </w:r>
          </w:p>
        </w:tc>
        <w:tc>
          <w:tcPr>
            <w:tcW w:type="dxa" w:w="7824"/>
          </w:tcPr>
          <w:p>
            <w:pPr>
              <w:spacing w:after="0"/>
            </w:pPr>
            <w:r>
              <w:rPr>
                <w:b w:val="0"/>
                <w:i w:val="0"/>
              </w:rPr>
              <w:t>All four conditions met and all three thresholds reached – or the product sends no reports.</w:t>
            </w:r>
          </w:p>
        </w:tc>
      </w:tr>
    </w:tbl>
    <w:p>
      <w:pPr>
        <w:pStyle w:val="Heading2"/>
      </w:pPr>
      <w:r>
        <w:rPr>
          <w:b w:val="0"/>
          <w:i w:val="0"/>
          <w:color w:val="946A12"/>
        </w:rPr>
        <w:t>4.2  Gold</w:t>
      </w:r>
    </w:p>
    <w:p>
      <w:pPr>
        <w:pStyle w:val="Heading3"/>
      </w:pPr>
      <w:r>
        <w:rPr>
          <w:b w:val="0"/>
          <w:i w:val="0"/>
          <w:color w:val="946A12"/>
        </w:rPr>
        <w:t xml:space="preserve">G-01  </w:t>
      </w:r>
      <w:r>
        <w:rPr>
          <w:b w:val="0"/>
          <w:i w:val="0"/>
        </w:rPr>
        <w:t>Local inference</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Requirement</w:t>
            </w:r>
          </w:p>
        </w:tc>
        <w:tc>
          <w:tcPr>
            <w:tcW w:type="dxa" w:w="7824"/>
          </w:tcPr>
          <w:p>
            <w:pPr>
              <w:spacing w:after="0"/>
            </w:pPr>
            <w:r>
              <w:rPr>
                <w:b w:val="0"/>
                <w:i w:val="0"/>
              </w:rPr>
              <w:t>All inference for AI functions runs on the customer's devices or servers (own hardware, or a cloud environment the customer controls itself). No AI request goes to the vendor or to third parties.</w:t>
            </w:r>
          </w:p>
        </w:tc>
      </w:tr>
      <w:tr>
        <w:trPr>
          <w:cantSplit w:val="true"/>
        </w:trPr>
        <w:tc>
          <w:tcPr>
            <w:tcW w:type="dxa" w:w="1814"/>
          </w:tcPr>
          <w:p>
            <w:pPr>
              <w:spacing w:after="0"/>
            </w:pPr>
            <w:r>
              <w:rPr>
                <w:b/>
                <w:i w:val="0"/>
              </w:rPr>
              <w:t>Evidence</w:t>
            </w:r>
          </w:p>
        </w:tc>
        <w:tc>
          <w:tcPr>
            <w:tcW w:type="dxa" w:w="7824"/>
          </w:tcPr>
          <w:p>
            <w:pPr>
              <w:spacing w:after="0"/>
            </w:pPr>
            <w:r>
              <w:rPr>
                <w:b w:val="0"/>
                <w:i w:val="0"/>
              </w:rPr>
              <w:t>Architecture description; location of the model files.</w:t>
            </w:r>
          </w:p>
        </w:tc>
      </w:tr>
      <w:tr>
        <w:trPr>
          <w:cantSplit w:val="true"/>
        </w:trPr>
        <w:tc>
          <w:tcPr>
            <w:tcW w:type="dxa" w:w="1814"/>
          </w:tcPr>
          <w:p>
            <w:pPr>
              <w:spacing w:after="0"/>
            </w:pPr>
            <w:r>
              <w:rPr>
                <w:b/>
                <w:i w:val="0"/>
              </w:rPr>
              <w:t>Audit</w:t>
            </w:r>
          </w:p>
        </w:tc>
        <w:tc>
          <w:tcPr>
            <w:tcW w:type="dxa" w:w="7824"/>
          </w:tcPr>
          <w:p>
            <w:pPr>
              <w:spacing w:after="40"/>
            </w:pPr>
            <w:r>
              <w:rPr>
                <w:b w:val="0"/>
                <w:i w:val="0"/>
              </w:rPr>
              <w:t>1. Locate the installed model files.</w:t>
            </w:r>
          </w:p>
          <w:p>
            <w:pPr>
              <w:spacing w:after="40"/>
            </w:pPr>
            <w:r>
              <w:rPr>
                <w:b w:val="0"/>
                <w:i w:val="0"/>
              </w:rPr>
              <w:t>2. Process the test corpus and capture the traffic.</w:t>
            </w:r>
          </w:p>
          <w:p>
            <w:pPr>
              <w:spacing w:after="40"/>
            </w:pPr>
            <w:r>
              <w:rPr>
                <w:b w:val="0"/>
                <w:i w:val="0"/>
              </w:rPr>
              <w:t>3. Search the capture for canary values and AI requests.</w:t>
            </w:r>
          </w:p>
        </w:tc>
      </w:tr>
      <w:tr>
        <w:trPr>
          <w:cantSplit w:val="true"/>
        </w:trPr>
        <w:tc>
          <w:tcPr>
            <w:tcW w:type="dxa" w:w="1814"/>
          </w:tcPr>
          <w:p>
            <w:pPr>
              <w:spacing w:after="0"/>
            </w:pPr>
            <w:r>
              <w:rPr>
                <w:b/>
                <w:i w:val="0"/>
              </w:rPr>
              <w:t>Passed if</w:t>
            </w:r>
          </w:p>
        </w:tc>
        <w:tc>
          <w:tcPr>
            <w:tcW w:type="dxa" w:w="7824"/>
          </w:tcPr>
          <w:p>
            <w:pPr>
              <w:spacing w:after="0"/>
            </w:pPr>
            <w:r>
              <w:rPr>
                <w:b w:val="0"/>
                <w:i w:val="0"/>
              </w:rPr>
              <w:t>No AI request and no canary value in outgoing traffic.</w:t>
            </w:r>
          </w:p>
        </w:tc>
      </w:tr>
    </w:tbl>
    <w:p>
      <w:pPr>
        <w:pStyle w:val="Heading3"/>
      </w:pPr>
      <w:r>
        <w:rPr>
          <w:b w:val="0"/>
          <w:i w:val="0"/>
          <w:color w:val="946A12"/>
        </w:rPr>
        <w:t xml:space="preserve">G-02  </w:t>
      </w:r>
      <w:r>
        <w:rPr>
          <w:b w:val="0"/>
          <w:i w:val="0"/>
        </w:rPr>
        <w:t>Offline operation</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Requirement</w:t>
            </w:r>
          </w:p>
        </w:tc>
        <w:tc>
          <w:tcPr>
            <w:tcW w:type="dxa" w:w="7824"/>
          </w:tcPr>
          <w:p>
            <w:pPr>
              <w:spacing w:after="0"/>
            </w:pPr>
            <w:r>
              <w:rPr>
                <w:b w:val="0"/>
                <w:i w:val="0"/>
              </w:rPr>
              <w:t>All AI functions work without an internet connection. Licence checks and updates are allowed if they carry no content and processing continues offline for at least 14 days.</w:t>
            </w:r>
          </w:p>
        </w:tc>
      </w:tr>
      <w:tr>
        <w:trPr>
          <w:cantSplit w:val="true"/>
        </w:trPr>
        <w:tc>
          <w:tcPr>
            <w:tcW w:type="dxa" w:w="1814"/>
          </w:tcPr>
          <w:p>
            <w:pPr>
              <w:spacing w:after="0"/>
            </w:pPr>
            <w:r>
              <w:rPr>
                <w:b/>
                <w:i w:val="0"/>
              </w:rPr>
              <w:t>Threshold</w:t>
            </w:r>
          </w:p>
        </w:tc>
        <w:tc>
          <w:tcPr>
            <w:tcW w:type="dxa" w:w="7824"/>
          </w:tcPr>
          <w:p>
            <w:pPr>
              <w:spacing w:after="0"/>
            </w:pPr>
            <w:r>
              <w:rPr>
                <w:b/>
                <w:i w:val="0"/>
                <w:color w:val="946A12"/>
              </w:rPr>
              <w:t>Continued offline operation ≥ 14 days.</w:t>
            </w:r>
          </w:p>
        </w:tc>
      </w:tr>
      <w:tr>
        <w:trPr>
          <w:cantSplit w:val="true"/>
        </w:trPr>
        <w:tc>
          <w:tcPr>
            <w:tcW w:type="dxa" w:w="1814"/>
          </w:tcPr>
          <w:p>
            <w:pPr>
              <w:spacing w:after="0"/>
            </w:pPr>
            <w:r>
              <w:rPr>
                <w:b/>
                <w:i w:val="0"/>
              </w:rPr>
              <w:t>Evidence</w:t>
            </w:r>
          </w:p>
        </w:tc>
        <w:tc>
          <w:tcPr>
            <w:tcW w:type="dxa" w:w="7824"/>
          </w:tcPr>
          <w:p>
            <w:pPr>
              <w:spacing w:after="0"/>
            </w:pPr>
            <w:r>
              <w:rPr>
                <w:b w:val="0"/>
                <w:i w:val="0"/>
              </w:rPr>
              <w:t>Description of licence check and updates.</w:t>
            </w:r>
          </w:p>
        </w:tc>
      </w:tr>
      <w:tr>
        <w:trPr>
          <w:cantSplit w:val="true"/>
        </w:trPr>
        <w:tc>
          <w:tcPr>
            <w:tcW w:type="dxa" w:w="1814"/>
          </w:tcPr>
          <w:p>
            <w:pPr>
              <w:spacing w:after="0"/>
            </w:pPr>
            <w:r>
              <w:rPr>
                <w:b/>
                <w:i w:val="0"/>
              </w:rPr>
              <w:t>Audit</w:t>
            </w:r>
          </w:p>
        </w:tc>
        <w:tc>
          <w:tcPr>
            <w:tcW w:type="dxa" w:w="7824"/>
          </w:tcPr>
          <w:p>
            <w:pPr>
              <w:spacing w:after="40"/>
            </w:pPr>
            <w:r>
              <w:rPr>
                <w:b w:val="0"/>
                <w:i w:val="0"/>
              </w:rPr>
              <w:t>1. Disconnect the network.</w:t>
            </w:r>
          </w:p>
          <w:p>
            <w:pPr>
              <w:spacing w:after="40"/>
            </w:pPr>
            <w:r>
              <w:rPr>
                <w:b w:val="0"/>
                <w:i w:val="0"/>
              </w:rPr>
              <w:t>2. Process the test corpus with all AI functions.</w:t>
            </w:r>
          </w:p>
          <w:p>
            <w:pPr>
              <w:spacing w:after="40"/>
            </w:pPr>
            <w:r>
              <w:rPr>
                <w:b w:val="0"/>
                <w:i w:val="0"/>
              </w:rPr>
              <w:t>3. Move the system clock forward 14 days, or verify the vendor's stated grace period.</w:t>
            </w:r>
          </w:p>
        </w:tc>
      </w:tr>
      <w:tr>
        <w:trPr>
          <w:cantSplit w:val="true"/>
        </w:trPr>
        <w:tc>
          <w:tcPr>
            <w:tcW w:type="dxa" w:w="1814"/>
          </w:tcPr>
          <w:p>
            <w:pPr>
              <w:spacing w:after="0"/>
            </w:pPr>
            <w:r>
              <w:rPr>
                <w:b/>
                <w:i w:val="0"/>
              </w:rPr>
              <w:t>Passed if</w:t>
            </w:r>
          </w:p>
        </w:tc>
        <w:tc>
          <w:tcPr>
            <w:tcW w:type="dxa" w:w="7824"/>
          </w:tcPr>
          <w:p>
            <w:pPr>
              <w:spacing w:after="0"/>
            </w:pPr>
            <w:r>
              <w:rPr>
                <w:b w:val="0"/>
                <w:i w:val="0"/>
              </w:rPr>
              <w:t>All AI functions work offline; grace period ≥ 14 days.</w:t>
            </w:r>
          </w:p>
        </w:tc>
      </w:tr>
    </w:tbl>
    <w:p>
      <w:pPr>
        <w:pStyle w:val="Heading3"/>
      </w:pPr>
      <w:r>
        <w:rPr>
          <w:b w:val="0"/>
          <w:i w:val="0"/>
          <w:color w:val="946A12"/>
        </w:rPr>
        <w:t xml:space="preserve">G-03  </w:t>
      </w:r>
      <w:r>
        <w:rPr>
          <w:b w:val="0"/>
          <w:i w:val="0"/>
        </w:rPr>
        <w:t>Verifiable models</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Requirement</w:t>
            </w:r>
          </w:p>
        </w:tc>
        <w:tc>
          <w:tcPr>
            <w:tcW w:type="dxa" w:w="7824"/>
          </w:tcPr>
          <w:p>
            <w:pPr>
              <w:spacing w:after="0"/>
            </w:pPr>
            <w:r>
              <w:rPr>
                <w:b w:val="0"/>
                <w:i w:val="0"/>
              </w:rPr>
              <w:t>Models and model updates are delivered as files with a published checksum or signature.</w:t>
            </w:r>
          </w:p>
        </w:tc>
      </w:tr>
      <w:tr>
        <w:trPr>
          <w:cantSplit w:val="true"/>
        </w:trPr>
        <w:tc>
          <w:tcPr>
            <w:tcW w:type="dxa" w:w="1814"/>
          </w:tcPr>
          <w:p>
            <w:pPr>
              <w:spacing w:after="0"/>
            </w:pPr>
            <w:r>
              <w:rPr>
                <w:b/>
                <w:i w:val="0"/>
              </w:rPr>
              <w:t>Evidence</w:t>
            </w:r>
          </w:p>
        </w:tc>
        <w:tc>
          <w:tcPr>
            <w:tcW w:type="dxa" w:w="7824"/>
          </w:tcPr>
          <w:p>
            <w:pPr>
              <w:spacing w:after="0"/>
            </w:pPr>
            <w:r>
              <w:rPr>
                <w:b w:val="0"/>
                <w:i w:val="0"/>
              </w:rPr>
              <w:t>Where the checksums or signatures are published.</w:t>
            </w:r>
          </w:p>
        </w:tc>
      </w:tr>
      <w:tr>
        <w:trPr>
          <w:cantSplit w:val="true"/>
        </w:trPr>
        <w:tc>
          <w:tcPr>
            <w:tcW w:type="dxa" w:w="1814"/>
          </w:tcPr>
          <w:p>
            <w:pPr>
              <w:spacing w:after="0"/>
            </w:pPr>
            <w:r>
              <w:rPr>
                <w:b/>
                <w:i w:val="0"/>
              </w:rPr>
              <w:t>Audit</w:t>
            </w:r>
          </w:p>
        </w:tc>
        <w:tc>
          <w:tcPr>
            <w:tcW w:type="dxa" w:w="7824"/>
          </w:tcPr>
          <w:p>
            <w:pPr>
              <w:spacing w:after="40"/>
            </w:pPr>
            <w:r>
              <w:rPr>
                <w:b w:val="0"/>
                <w:i w:val="0"/>
              </w:rPr>
              <w:t>1. Recompute the checksum or verify the signature of a delivered model file.</w:t>
            </w:r>
          </w:p>
        </w:tc>
      </w:tr>
      <w:tr>
        <w:trPr>
          <w:cantSplit w:val="true"/>
        </w:trPr>
        <w:tc>
          <w:tcPr>
            <w:tcW w:type="dxa" w:w="1814"/>
          </w:tcPr>
          <w:p>
            <w:pPr>
              <w:spacing w:after="0"/>
            </w:pPr>
            <w:r>
              <w:rPr>
                <w:b/>
                <w:i w:val="0"/>
              </w:rPr>
              <w:t>Passed if</w:t>
            </w:r>
          </w:p>
        </w:tc>
        <w:tc>
          <w:tcPr>
            <w:tcW w:type="dxa" w:w="7824"/>
          </w:tcPr>
          <w:p>
            <w:pPr>
              <w:spacing w:after="0"/>
            </w:pPr>
            <w:r>
              <w:rPr>
                <w:b w:val="0"/>
                <w:i w:val="0"/>
              </w:rPr>
              <w:t>Checksum or signature matches.</w:t>
            </w:r>
          </w:p>
        </w:tc>
      </w:tr>
    </w:tbl>
    <w:p>
      <w:pPr>
        <w:pStyle w:val="Heading2"/>
      </w:pPr>
      <w:r>
        <w:rPr>
          <w:b w:val="0"/>
          <w:i w:val="0"/>
          <w:color w:val="5F6B78"/>
        </w:rPr>
        <w:t>4.3  Silver</w:t>
      </w:r>
    </w:p>
    <w:p>
      <w:pPr>
        <w:pStyle w:val="Heading3"/>
      </w:pPr>
      <w:r>
        <w:rPr>
          <w:b w:val="0"/>
          <w:i w:val="0"/>
          <w:color w:val="5F6B78"/>
        </w:rPr>
        <w:t xml:space="preserve">S-01  </w:t>
      </w:r>
      <w:r>
        <w:rPr>
          <w:b w:val="0"/>
          <w:i w:val="0"/>
        </w:rPr>
        <w:t>Vendor-operated AI</w:t>
      </w:r>
      <w:r>
        <w:rPr>
          <w:b w:val="0"/>
          <w:i w:val="0"/>
          <w:color w:val="586676"/>
        </w:rPr>
        <w:t xml:space="preserve">  (Variant S-a)</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Requirement</w:t>
            </w:r>
          </w:p>
        </w:tc>
        <w:tc>
          <w:tcPr>
            <w:tcW w:type="dxa" w:w="7824"/>
          </w:tcPr>
          <w:p>
            <w:pPr>
              <w:spacing w:after="0"/>
            </w:pPr>
            <w:r>
              <w:rPr>
                <w:b w:val="0"/>
                <w:i w:val="0"/>
              </w:rPr>
              <w:t>AI that processes personal data runs at the customer's site or on vendor-operated infrastructure in the EEA. No third-party AI sees personal data. A cloud provider's model services count as third-party AI.</w:t>
            </w:r>
          </w:p>
        </w:tc>
      </w:tr>
      <w:tr>
        <w:trPr>
          <w:cantSplit w:val="true"/>
        </w:trPr>
        <w:tc>
          <w:tcPr>
            <w:tcW w:type="dxa" w:w="1814"/>
          </w:tcPr>
          <w:p>
            <w:pPr>
              <w:spacing w:after="0"/>
            </w:pPr>
            <w:r>
              <w:rPr>
                <w:b/>
                <w:i w:val="0"/>
              </w:rPr>
              <w:t>Evidence</w:t>
            </w:r>
          </w:p>
        </w:tc>
        <w:tc>
          <w:tcPr>
            <w:tcW w:type="dxa" w:w="7824"/>
          </w:tcPr>
          <w:p>
            <w:pPr>
              <w:spacing w:after="0"/>
            </w:pPr>
            <w:r>
              <w:rPr>
                <w:b w:val="0"/>
                <w:i w:val="0"/>
              </w:rPr>
              <w:t>Architecture description, hosting contracts, locations.</w:t>
            </w:r>
          </w:p>
        </w:tc>
      </w:tr>
      <w:tr>
        <w:trPr>
          <w:cantSplit w:val="true"/>
        </w:trPr>
        <w:tc>
          <w:tcPr>
            <w:tcW w:type="dxa" w:w="1814"/>
          </w:tcPr>
          <w:p>
            <w:pPr>
              <w:spacing w:after="0"/>
            </w:pPr>
            <w:r>
              <w:rPr>
                <w:b/>
                <w:i w:val="0"/>
              </w:rPr>
              <w:t>Audit</w:t>
            </w:r>
          </w:p>
        </w:tc>
        <w:tc>
          <w:tcPr>
            <w:tcW w:type="dxa" w:w="7824"/>
          </w:tcPr>
          <w:p>
            <w:pPr>
              <w:spacing w:after="40"/>
            </w:pPr>
            <w:r>
              <w:rPr>
                <w:b w:val="0"/>
                <w:i w:val="0"/>
              </w:rPr>
              <w:t>1. Review hosting contracts and locations.</w:t>
            </w:r>
          </w:p>
          <w:p>
            <w:pPr>
              <w:spacing w:after="40"/>
            </w:pPr>
            <w:r>
              <w:rPr>
                <w:b w:val="0"/>
                <w:i w:val="0"/>
              </w:rPr>
              <w:t>2. Obtain proof that the vendor runs the models itself (configuration, deployment, model files).</w:t>
            </w:r>
          </w:p>
          <w:p>
            <w:pPr>
              <w:spacing w:after="40"/>
            </w:pPr>
            <w:r>
              <w:rPr>
                <w:b w:val="0"/>
                <w:i w:val="0"/>
              </w:rPr>
              <w:t>3. Process the test corpus through the service; check the vendor servers' outgoing traffic where accessible, otherwise the vendor's logs.</w:t>
            </w:r>
          </w:p>
        </w:tc>
      </w:tr>
      <w:tr>
        <w:trPr>
          <w:cantSplit w:val="true"/>
        </w:trPr>
        <w:tc>
          <w:tcPr>
            <w:tcW w:type="dxa" w:w="1814"/>
          </w:tcPr>
          <w:p>
            <w:pPr>
              <w:spacing w:after="0"/>
            </w:pPr>
            <w:r>
              <w:rPr>
                <w:b/>
                <w:i w:val="0"/>
              </w:rPr>
              <w:t>Passed if</w:t>
            </w:r>
          </w:p>
        </w:tc>
        <w:tc>
          <w:tcPr>
            <w:tcW w:type="dxa" w:w="7824"/>
          </w:tcPr>
          <w:p>
            <w:pPr>
              <w:spacing w:after="0"/>
            </w:pPr>
            <w:r>
              <w:rPr>
                <w:b w:val="0"/>
                <w:i w:val="0"/>
              </w:rPr>
              <w:t>Models demonstrably run at the vendor in the EEA; no third-party AI receives canary values.</w:t>
            </w:r>
          </w:p>
        </w:tc>
      </w:tr>
    </w:tbl>
    <w:p>
      <w:pPr>
        <w:pStyle w:val="Heading3"/>
      </w:pPr>
      <w:r>
        <w:rPr>
          <w:b w:val="0"/>
          <w:i w:val="0"/>
          <w:color w:val="5F6B78"/>
        </w:rPr>
        <w:t xml:space="preserve">S-02  </w:t>
      </w:r>
      <w:r>
        <w:rPr>
          <w:b w:val="0"/>
          <w:i w:val="0"/>
        </w:rPr>
        <w:t>Router</w:t>
      </w:r>
      <w:r>
        <w:rPr>
          <w:b w:val="0"/>
          <w:i w:val="0"/>
          <w:color w:val="586676"/>
        </w:rPr>
        <w:t xml:space="preserve">  (Variant S-b)</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Requirement</w:t>
            </w:r>
          </w:p>
        </w:tc>
        <w:tc>
          <w:tcPr>
            <w:tcW w:type="dxa" w:w="7824"/>
          </w:tcPr>
          <w:p>
            <w:pPr>
              <w:spacing w:after="0"/>
            </w:pPr>
            <w:r>
              <w:rPr>
                <w:b w:val="0"/>
                <w:i w:val="0"/>
              </w:rPr>
              <w:t>If a third-party AI is used, a router at the customer's site or on vendor-operated infrastructure checks every request. Only requests without personal data go to the third-party AI.</w:t>
            </w:r>
          </w:p>
        </w:tc>
      </w:tr>
      <w:tr>
        <w:trPr>
          <w:cantSplit w:val="true"/>
        </w:trPr>
        <w:tc>
          <w:tcPr>
            <w:tcW w:type="dxa" w:w="1814"/>
          </w:tcPr>
          <w:p>
            <w:pPr>
              <w:spacing w:after="0"/>
            </w:pPr>
            <w:r>
              <w:rPr>
                <w:b/>
                <w:i w:val="0"/>
              </w:rPr>
              <w:t>Evidence</w:t>
            </w:r>
          </w:p>
        </w:tc>
        <w:tc>
          <w:tcPr>
            <w:tcW w:type="dxa" w:w="7824"/>
          </w:tcPr>
          <w:p>
            <w:pPr>
              <w:spacing w:after="0"/>
            </w:pPr>
            <w:r>
              <w:rPr>
                <w:b w:val="0"/>
                <w:i w:val="0"/>
              </w:rPr>
              <w:t>Description of the router (method, location, categories).</w:t>
            </w:r>
          </w:p>
        </w:tc>
      </w:tr>
      <w:tr>
        <w:trPr>
          <w:cantSplit w:val="true"/>
        </w:trPr>
        <w:tc>
          <w:tcPr>
            <w:tcW w:type="dxa" w:w="1814"/>
          </w:tcPr>
          <w:p>
            <w:pPr>
              <w:spacing w:after="0"/>
            </w:pPr>
            <w:r>
              <w:rPr>
                <w:b/>
                <w:i w:val="0"/>
              </w:rPr>
              <w:t>Audit</w:t>
            </w:r>
          </w:p>
        </w:tc>
        <w:tc>
          <w:tcPr>
            <w:tcW w:type="dxa" w:w="7824"/>
          </w:tcPr>
          <w:p>
            <w:pPr>
              <w:spacing w:after="40"/>
            </w:pPr>
            <w:r>
              <w:rPr>
                <w:b w:val="0"/>
                <w:i w:val="0"/>
              </w:rPr>
              <w:t>1. Trace the router in the architecture.</w:t>
            </w:r>
          </w:p>
          <w:p>
            <w:pPr>
              <w:spacing w:after="40"/>
            </w:pPr>
            <w:r>
              <w:rPr>
                <w:b w:val="0"/>
                <w:i w:val="0"/>
              </w:rPr>
              <w:t>2. Check that no request reaches the third-party AI bypassing the router.</w:t>
            </w:r>
          </w:p>
        </w:tc>
      </w:tr>
      <w:tr>
        <w:trPr>
          <w:cantSplit w:val="true"/>
        </w:trPr>
        <w:tc>
          <w:tcPr>
            <w:tcW w:type="dxa" w:w="1814"/>
          </w:tcPr>
          <w:p>
            <w:pPr>
              <w:spacing w:after="0"/>
            </w:pPr>
            <w:r>
              <w:rPr>
                <w:b/>
                <w:i w:val="0"/>
              </w:rPr>
              <w:t>Passed if</w:t>
            </w:r>
          </w:p>
        </w:tc>
        <w:tc>
          <w:tcPr>
            <w:tcW w:type="dxa" w:w="7824"/>
          </w:tcPr>
          <w:p>
            <w:pPr>
              <w:spacing w:after="0"/>
            </w:pPr>
            <w:r>
              <w:rPr>
                <w:b w:val="0"/>
                <w:i w:val="0"/>
              </w:rPr>
              <w:t>Every request to the third-party AI passes the router.</w:t>
            </w:r>
          </w:p>
        </w:tc>
      </w:tr>
    </w:tbl>
    <w:p>
      <w:pPr>
        <w:pStyle w:val="Heading3"/>
      </w:pPr>
      <w:r>
        <w:rPr>
          <w:b w:val="0"/>
          <w:i w:val="0"/>
          <w:color w:val="5F6B78"/>
        </w:rPr>
        <w:t xml:space="preserve">S-03  </w:t>
      </w:r>
      <w:r>
        <w:rPr>
          <w:b w:val="0"/>
          <w:i w:val="0"/>
        </w:rPr>
        <w:t>Router accuracy</w:t>
      </w:r>
      <w:r>
        <w:rPr>
          <w:b w:val="0"/>
          <w:i w:val="0"/>
          <w:color w:val="586676"/>
        </w:rPr>
        <w:t xml:space="preserve">  (Variant S-b)</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Requirement</w:t>
            </w:r>
          </w:p>
        </w:tc>
        <w:tc>
          <w:tcPr>
            <w:tcW w:type="dxa" w:w="7824"/>
          </w:tcPr>
          <w:p>
            <w:pPr>
              <w:spacing w:after="0"/>
            </w:pPr>
            <w:r>
              <w:rPr>
                <w:b w:val="0"/>
                <w:i w:val="0"/>
              </w:rPr>
              <w:t>The router reliably keeps requests containing personal data away from the third-party AI.</w:t>
            </w:r>
          </w:p>
        </w:tc>
      </w:tr>
      <w:tr>
        <w:trPr>
          <w:cantSplit w:val="true"/>
        </w:trPr>
        <w:tc>
          <w:tcPr>
            <w:tcW w:type="dxa" w:w="1814"/>
          </w:tcPr>
          <w:p>
            <w:pPr>
              <w:spacing w:after="0"/>
            </w:pPr>
            <w:r>
              <w:rPr>
                <w:b/>
                <w:i w:val="0"/>
              </w:rPr>
              <w:t>Threshold</w:t>
            </w:r>
          </w:p>
        </w:tc>
        <w:tc>
          <w:tcPr>
            <w:tcW w:type="dxa" w:w="7824"/>
          </w:tcPr>
          <w:p>
            <w:pPr>
              <w:spacing w:after="0"/>
            </w:pPr>
            <w:r>
              <w:rPr>
                <w:b/>
                <w:i w:val="0"/>
                <w:color w:val="5F6B78"/>
              </w:rPr>
              <w:t>Of the test requests containing personal data, at most 0.5 % reach the third-party AI (≥ 99.5 % kept back); for requests containing structured identifiers (IBAN, e-mail, phone, ID and tax numbers), at most 0.1 % (≥ 99.9 %).</w:t>
            </w:r>
          </w:p>
        </w:tc>
      </w:tr>
      <w:tr>
        <w:trPr>
          <w:cantSplit w:val="true"/>
        </w:trPr>
        <w:tc>
          <w:tcPr>
            <w:tcW w:type="dxa" w:w="1814"/>
          </w:tcPr>
          <w:p>
            <w:pPr>
              <w:spacing w:after="0"/>
            </w:pPr>
            <w:r>
              <w:rPr>
                <w:b/>
                <w:i w:val="0"/>
              </w:rPr>
              <w:t>Evidence</w:t>
            </w:r>
          </w:p>
        </w:tc>
        <w:tc>
          <w:tcPr>
            <w:tcW w:type="dxa" w:w="7824"/>
          </w:tcPr>
          <w:p>
            <w:pPr>
              <w:spacing w:after="0"/>
            </w:pPr>
            <w:r>
              <w:rPr>
                <w:b w:val="0"/>
                <w:i w:val="0"/>
              </w:rPr>
              <w:t>The vendor's own measurements (optional).</w:t>
            </w:r>
          </w:p>
        </w:tc>
      </w:tr>
      <w:tr>
        <w:trPr>
          <w:cantSplit w:val="true"/>
        </w:trPr>
        <w:tc>
          <w:tcPr>
            <w:tcW w:type="dxa" w:w="1814"/>
          </w:tcPr>
          <w:p>
            <w:pPr>
              <w:spacing w:after="0"/>
            </w:pPr>
            <w:r>
              <w:rPr>
                <w:b/>
                <w:i w:val="0"/>
              </w:rPr>
              <w:t>Audit</w:t>
            </w:r>
          </w:p>
        </w:tc>
        <w:tc>
          <w:tcPr>
            <w:tcW w:type="dxa" w:w="7824"/>
          </w:tcPr>
          <w:p>
            <w:pPr>
              <w:spacing w:after="40"/>
            </w:pPr>
            <w:r>
              <w:rPr>
                <w:b w:val="0"/>
                <w:i w:val="0"/>
              </w:rPr>
              <w:t>1. Send at least 1,000 test requests per language (mixed, with and without personal data).</w:t>
            </w:r>
          </w:p>
          <w:p>
            <w:pPr>
              <w:spacing w:after="40"/>
            </w:pPr>
            <w:r>
              <w:rPr>
                <w:b w:val="0"/>
                <w:i w:val="0"/>
              </w:rPr>
              <w:t>2. Count which requests containing canary values reach the third-party AI.</w:t>
            </w:r>
          </w:p>
          <w:p>
            <w:pPr>
              <w:spacing w:after="40"/>
            </w:pPr>
            <w:r>
              <w:rPr>
                <w:b w:val="0"/>
                <w:i w:val="0"/>
              </w:rPr>
              <w:t>3. Compute the rates separately for structured identifiers and other data.</w:t>
            </w:r>
          </w:p>
        </w:tc>
      </w:tr>
      <w:tr>
        <w:trPr>
          <w:cantSplit w:val="true"/>
        </w:trPr>
        <w:tc>
          <w:tcPr>
            <w:tcW w:type="dxa" w:w="1814"/>
          </w:tcPr>
          <w:p>
            <w:pPr>
              <w:spacing w:after="0"/>
            </w:pPr>
            <w:r>
              <w:rPr>
                <w:b/>
                <w:i w:val="0"/>
              </w:rPr>
              <w:t>Passed if</w:t>
            </w:r>
          </w:p>
        </w:tc>
        <w:tc>
          <w:tcPr>
            <w:tcW w:type="dxa" w:w="7824"/>
          </w:tcPr>
          <w:p>
            <w:pPr>
              <w:spacing w:after="0"/>
            </w:pPr>
            <w:r>
              <w:rPr>
                <w:b w:val="0"/>
                <w:i w:val="0"/>
              </w:rPr>
              <w:t>Both thresholds met, in German and in English.</w:t>
            </w:r>
          </w:p>
        </w:tc>
      </w:tr>
    </w:tbl>
    <w:p>
      <w:pPr>
        <w:pStyle w:val="Heading3"/>
      </w:pPr>
      <w:r>
        <w:rPr>
          <w:b w:val="0"/>
          <w:i w:val="0"/>
          <w:color w:val="5F6B78"/>
        </w:rPr>
        <w:t xml:space="preserve">S-04  </w:t>
      </w:r>
      <w:r>
        <w:rPr>
          <w:b w:val="0"/>
          <w:i w:val="0"/>
        </w:rPr>
        <w:t>Router fails closed</w:t>
      </w:r>
      <w:r>
        <w:rPr>
          <w:b w:val="0"/>
          <w:i w:val="0"/>
          <w:color w:val="586676"/>
        </w:rPr>
        <w:t xml:space="preserve">  (Variant S-b)</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Requirement</w:t>
            </w:r>
          </w:p>
        </w:tc>
        <w:tc>
          <w:tcPr>
            <w:tcW w:type="dxa" w:w="7824"/>
          </w:tcPr>
          <w:p>
            <w:pPr>
              <w:spacing w:after="0"/>
            </w:pPr>
            <w:r>
              <w:rPr>
                <w:b w:val="0"/>
                <w:i w:val="0"/>
              </w:rPr>
              <w:t>If the router is uncertain, fails or cannot be reached, the request stays local or with the vendor.</w:t>
            </w:r>
          </w:p>
        </w:tc>
      </w:tr>
      <w:tr>
        <w:trPr>
          <w:cantSplit w:val="true"/>
        </w:trPr>
        <w:tc>
          <w:tcPr>
            <w:tcW w:type="dxa" w:w="1814"/>
          </w:tcPr>
          <w:p>
            <w:pPr>
              <w:spacing w:after="0"/>
            </w:pPr>
            <w:r>
              <w:rPr>
                <w:b/>
                <w:i w:val="0"/>
              </w:rPr>
              <w:t>Evidence</w:t>
            </w:r>
          </w:p>
        </w:tc>
        <w:tc>
          <w:tcPr>
            <w:tcW w:type="dxa" w:w="7824"/>
          </w:tcPr>
          <w:p>
            <w:pPr>
              <w:spacing w:after="0"/>
            </w:pPr>
            <w:r>
              <w:rPr>
                <w:b w:val="0"/>
                <w:i w:val="0"/>
              </w:rPr>
              <w:t>Description of the failure behaviour.</w:t>
            </w:r>
          </w:p>
        </w:tc>
      </w:tr>
      <w:tr>
        <w:trPr>
          <w:cantSplit w:val="true"/>
        </w:trPr>
        <w:tc>
          <w:tcPr>
            <w:tcW w:type="dxa" w:w="1814"/>
          </w:tcPr>
          <w:p>
            <w:pPr>
              <w:spacing w:after="0"/>
            </w:pPr>
            <w:r>
              <w:rPr>
                <w:b/>
                <w:i w:val="0"/>
              </w:rPr>
              <w:t>Audit</w:t>
            </w:r>
          </w:p>
        </w:tc>
        <w:tc>
          <w:tcPr>
            <w:tcW w:type="dxa" w:w="7824"/>
          </w:tcPr>
          <w:p>
            <w:pPr>
              <w:spacing w:after="40"/>
            </w:pPr>
            <w:r>
              <w:rPr>
                <w:b w:val="0"/>
                <w:i w:val="0"/>
              </w:rPr>
              <w:t>1. Deliberately disturb the router (stop it, force a timeout, return an invalid result).</w:t>
            </w:r>
          </w:p>
          <w:p>
            <w:pPr>
              <w:spacing w:after="40"/>
            </w:pPr>
            <w:r>
              <w:rPr>
                <w:b w:val="0"/>
                <w:i w:val="0"/>
              </w:rPr>
              <w:t>2. Check whether any request reaches the third-party AI.</w:t>
            </w:r>
          </w:p>
        </w:tc>
      </w:tr>
      <w:tr>
        <w:trPr>
          <w:cantSplit w:val="true"/>
        </w:trPr>
        <w:tc>
          <w:tcPr>
            <w:tcW w:type="dxa" w:w="1814"/>
          </w:tcPr>
          <w:p>
            <w:pPr>
              <w:spacing w:after="0"/>
            </w:pPr>
            <w:r>
              <w:rPr>
                <w:b/>
                <w:i w:val="0"/>
              </w:rPr>
              <w:t>Passed if</w:t>
            </w:r>
          </w:p>
        </w:tc>
        <w:tc>
          <w:tcPr>
            <w:tcW w:type="dxa" w:w="7824"/>
          </w:tcPr>
          <w:p>
            <w:pPr>
              <w:spacing w:after="0"/>
            </w:pPr>
            <w:r>
              <w:rPr>
                <w:b w:val="0"/>
                <w:i w:val="0"/>
              </w:rPr>
              <w:t>Under no disturbance does a request reach the third-party AI.</w:t>
            </w:r>
          </w:p>
        </w:tc>
      </w:tr>
    </w:tbl>
    <w:p>
      <w:pPr>
        <w:pStyle w:val="Heading2"/>
      </w:pPr>
      <w:r>
        <w:rPr>
          <w:b w:val="0"/>
          <w:i w:val="0"/>
          <w:color w:val="8E4F1E"/>
        </w:rPr>
        <w:t>4.4  Bronze</w:t>
      </w:r>
    </w:p>
    <w:p>
      <w:pPr>
        <w:pStyle w:val="Heading3"/>
      </w:pPr>
      <w:r>
        <w:rPr>
          <w:b w:val="0"/>
          <w:i w:val="0"/>
          <w:color w:val="8E4F1E"/>
        </w:rPr>
        <w:t xml:space="preserve">B-01  </w:t>
      </w:r>
      <w:r>
        <w:rPr>
          <w:b w:val="0"/>
          <w:i w:val="0"/>
        </w:rPr>
        <w:t>Pseudonymisation before transfer</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Requirement</w:t>
            </w:r>
          </w:p>
        </w:tc>
        <w:tc>
          <w:tcPr>
            <w:tcW w:type="dxa" w:w="7824"/>
          </w:tcPr>
          <w:p>
            <w:pPr>
              <w:spacing w:after="0"/>
            </w:pPr>
            <w:r>
              <w:rPr>
                <w:b w:val="0"/>
                <w:i w:val="0"/>
              </w:rPr>
              <w:t>Every request to a third-party AI passes a pseudonymisation step at the customer's site or on vendor-operated infrastructure.</w:t>
            </w:r>
          </w:p>
        </w:tc>
      </w:tr>
      <w:tr>
        <w:trPr>
          <w:cantSplit w:val="true"/>
        </w:trPr>
        <w:tc>
          <w:tcPr>
            <w:tcW w:type="dxa" w:w="1814"/>
          </w:tcPr>
          <w:p>
            <w:pPr>
              <w:spacing w:after="0"/>
            </w:pPr>
            <w:r>
              <w:rPr>
                <w:b/>
                <w:i w:val="0"/>
              </w:rPr>
              <w:t>Evidence</w:t>
            </w:r>
          </w:p>
        </w:tc>
        <w:tc>
          <w:tcPr>
            <w:tcW w:type="dxa" w:w="7824"/>
          </w:tcPr>
          <w:p>
            <w:pPr>
              <w:spacing w:after="0"/>
            </w:pPr>
            <w:r>
              <w:rPr>
                <w:b w:val="0"/>
                <w:i w:val="0"/>
              </w:rPr>
              <w:t>Architecture description of the pseudonymisation step.</w:t>
            </w:r>
          </w:p>
        </w:tc>
      </w:tr>
      <w:tr>
        <w:trPr>
          <w:cantSplit w:val="true"/>
        </w:trPr>
        <w:tc>
          <w:tcPr>
            <w:tcW w:type="dxa" w:w="1814"/>
          </w:tcPr>
          <w:p>
            <w:pPr>
              <w:spacing w:after="0"/>
            </w:pPr>
            <w:r>
              <w:rPr>
                <w:b/>
                <w:i w:val="0"/>
              </w:rPr>
              <w:t>Audit</w:t>
            </w:r>
          </w:p>
        </w:tc>
        <w:tc>
          <w:tcPr>
            <w:tcW w:type="dxa" w:w="7824"/>
          </w:tcPr>
          <w:p>
            <w:pPr>
              <w:spacing w:after="40"/>
            </w:pPr>
            <w:r>
              <w:rPr>
                <w:b w:val="0"/>
                <w:i w:val="0"/>
              </w:rPr>
              <w:t>1. Trace the pseudonymisation step in the architecture.</w:t>
            </w:r>
          </w:p>
          <w:p>
            <w:pPr>
              <w:spacing w:after="40"/>
            </w:pPr>
            <w:r>
              <w:rPr>
                <w:b w:val="0"/>
                <w:i w:val="0"/>
              </w:rPr>
              <w:t>2. Check that no request reaches the third-party AI bypassing it.</w:t>
            </w:r>
          </w:p>
        </w:tc>
      </w:tr>
      <w:tr>
        <w:trPr>
          <w:cantSplit w:val="true"/>
        </w:trPr>
        <w:tc>
          <w:tcPr>
            <w:tcW w:type="dxa" w:w="1814"/>
          </w:tcPr>
          <w:p>
            <w:pPr>
              <w:spacing w:after="0"/>
            </w:pPr>
            <w:r>
              <w:rPr>
                <w:b/>
                <w:i w:val="0"/>
              </w:rPr>
              <w:t>Passed if</w:t>
            </w:r>
          </w:p>
        </w:tc>
        <w:tc>
          <w:tcPr>
            <w:tcW w:type="dxa" w:w="7824"/>
          </w:tcPr>
          <w:p>
            <w:pPr>
              <w:spacing w:after="0"/>
            </w:pPr>
            <w:r>
              <w:rPr>
                <w:b w:val="0"/>
                <w:i w:val="0"/>
              </w:rPr>
              <w:t>Every request to the third-party AI is pseudonymised first.</w:t>
            </w:r>
          </w:p>
        </w:tc>
      </w:tr>
    </w:tbl>
    <w:p>
      <w:pPr>
        <w:pStyle w:val="Heading3"/>
      </w:pPr>
      <w:r>
        <w:rPr>
          <w:b w:val="0"/>
          <w:i w:val="0"/>
          <w:color w:val="8E4F1E"/>
        </w:rPr>
        <w:t xml:space="preserve">B-02  </w:t>
      </w:r>
      <w:r>
        <w:rPr>
          <w:b w:val="0"/>
          <w:i w:val="0"/>
        </w:rPr>
        <w:t>Categories covered</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Requirement</w:t>
            </w:r>
          </w:p>
        </w:tc>
        <w:tc>
          <w:tcPr>
            <w:tcW w:type="dxa" w:w="7824"/>
          </w:tcPr>
          <w:p>
            <w:pPr>
              <w:spacing w:after="0"/>
            </w:pPr>
            <w:r>
              <w:rPr>
                <w:b w:val="0"/>
                <w:i w:val="0"/>
              </w:rPr>
              <w:t>At least the following are covered: names of natural persons, addresses, dates of birth, phone numbers, e-mail addresses, IBAN and account numbers, ID card, passport, tax, social security and health insurance numbers, file and case reference numbers, vehicle registration numbers, IP addresses. The vendor lists any further categories.</w:t>
            </w:r>
          </w:p>
        </w:tc>
      </w:tr>
      <w:tr>
        <w:trPr>
          <w:cantSplit w:val="true"/>
        </w:trPr>
        <w:tc>
          <w:tcPr>
            <w:tcW w:type="dxa" w:w="1814"/>
          </w:tcPr>
          <w:p>
            <w:pPr>
              <w:spacing w:after="0"/>
            </w:pPr>
            <w:r>
              <w:rPr>
                <w:b/>
                <w:i w:val="0"/>
              </w:rPr>
              <w:t>Evidence</w:t>
            </w:r>
          </w:p>
        </w:tc>
        <w:tc>
          <w:tcPr>
            <w:tcW w:type="dxa" w:w="7824"/>
          </w:tcPr>
          <w:p>
            <w:pPr>
              <w:spacing w:after="0"/>
            </w:pPr>
            <w:r>
              <w:rPr>
                <w:b w:val="0"/>
                <w:i w:val="0"/>
              </w:rPr>
              <w:t>List of categories covered.</w:t>
            </w:r>
          </w:p>
        </w:tc>
      </w:tr>
      <w:tr>
        <w:trPr>
          <w:cantSplit w:val="true"/>
        </w:trPr>
        <w:tc>
          <w:tcPr>
            <w:tcW w:type="dxa" w:w="1814"/>
          </w:tcPr>
          <w:p>
            <w:pPr>
              <w:spacing w:after="0"/>
            </w:pPr>
            <w:r>
              <w:rPr>
                <w:b/>
                <w:i w:val="0"/>
              </w:rPr>
              <w:t>Audit</w:t>
            </w:r>
          </w:p>
        </w:tc>
        <w:tc>
          <w:tcPr>
            <w:tcW w:type="dxa" w:w="7824"/>
          </w:tcPr>
          <w:p>
            <w:pPr>
              <w:spacing w:after="40"/>
            </w:pPr>
            <w:r>
              <w:rPr>
                <w:b w:val="0"/>
                <w:i w:val="0"/>
              </w:rPr>
              <w:t>1. Review the list.</w:t>
            </w:r>
          </w:p>
          <w:p>
            <w:pPr>
              <w:spacing w:after="40"/>
            </w:pPr>
            <w:r>
              <w:rPr>
                <w:b w:val="0"/>
                <w:i w:val="0"/>
              </w:rPr>
              <w:t>2. Process canary values of each category in the test corpus (see B-03).</w:t>
            </w:r>
          </w:p>
        </w:tc>
      </w:tr>
      <w:tr>
        <w:trPr>
          <w:cantSplit w:val="true"/>
        </w:trPr>
        <w:tc>
          <w:tcPr>
            <w:tcW w:type="dxa" w:w="1814"/>
          </w:tcPr>
          <w:p>
            <w:pPr>
              <w:spacing w:after="0"/>
            </w:pPr>
            <w:r>
              <w:rPr>
                <w:b/>
                <w:i w:val="0"/>
              </w:rPr>
              <w:t>Passed if</w:t>
            </w:r>
          </w:p>
        </w:tc>
        <w:tc>
          <w:tcPr>
            <w:tcW w:type="dxa" w:w="7824"/>
          </w:tcPr>
          <w:p>
            <w:pPr>
              <w:spacing w:after="0"/>
            </w:pPr>
            <w:r>
              <w:rPr>
                <w:b w:val="0"/>
                <w:i w:val="0"/>
              </w:rPr>
              <w:t>All minimum categories covered.</w:t>
            </w:r>
          </w:p>
        </w:tc>
      </w:tr>
    </w:tbl>
    <w:p>
      <w:pPr>
        <w:pStyle w:val="Heading3"/>
      </w:pPr>
      <w:r>
        <w:rPr>
          <w:b w:val="0"/>
          <w:i w:val="0"/>
          <w:color w:val="8E4F1E"/>
        </w:rPr>
        <w:t xml:space="preserve">B-03  </w:t>
      </w:r>
      <w:r>
        <w:rPr>
          <w:b w:val="0"/>
          <w:i w:val="0"/>
        </w:rPr>
        <w:t>Detection rate</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Requirement</w:t>
            </w:r>
          </w:p>
        </w:tc>
        <w:tc>
          <w:tcPr>
            <w:tcW w:type="dxa" w:w="7824"/>
          </w:tcPr>
          <w:p>
            <w:pPr>
              <w:spacing w:after="0"/>
            </w:pPr>
            <w:r>
              <w:rPr>
                <w:b w:val="0"/>
                <w:i w:val="0"/>
              </w:rPr>
              <w:t>The pseudonymisation step reliably removes personal data. A canary value counts as leaked if it, or an obvious variant of its spelling, appears in plain text in the outgoing request.</w:t>
            </w:r>
          </w:p>
        </w:tc>
      </w:tr>
      <w:tr>
        <w:trPr>
          <w:cantSplit w:val="true"/>
        </w:trPr>
        <w:tc>
          <w:tcPr>
            <w:tcW w:type="dxa" w:w="1814"/>
          </w:tcPr>
          <w:p>
            <w:pPr>
              <w:spacing w:after="0"/>
            </w:pPr>
            <w:r>
              <w:rPr>
                <w:b/>
                <w:i w:val="0"/>
              </w:rPr>
              <w:t>Threshold</w:t>
            </w:r>
          </w:p>
        </w:tc>
        <w:tc>
          <w:tcPr>
            <w:tcW w:type="dxa" w:w="7824"/>
          </w:tcPr>
          <w:p>
            <w:pPr>
              <w:spacing w:after="0"/>
            </w:pPr>
            <w:r>
              <w:rPr>
                <w:b/>
                <w:i w:val="0"/>
                <w:color w:val="8E4F1E"/>
              </w:rPr>
              <w:t>Removed: ≥ 99 % of structured identifiers (IBAN, e-mail, phone, ID and tax numbers), ≥ 98 % of person names and ≥ 95 % of all canary values overall.</w:t>
            </w:r>
          </w:p>
        </w:tc>
      </w:tr>
      <w:tr>
        <w:trPr>
          <w:cantSplit w:val="true"/>
        </w:trPr>
        <w:tc>
          <w:tcPr>
            <w:tcW w:type="dxa" w:w="1814"/>
          </w:tcPr>
          <w:p>
            <w:pPr>
              <w:spacing w:after="0"/>
            </w:pPr>
            <w:r>
              <w:rPr>
                <w:b/>
                <w:i w:val="0"/>
              </w:rPr>
              <w:t>Evidence</w:t>
            </w:r>
          </w:p>
        </w:tc>
        <w:tc>
          <w:tcPr>
            <w:tcW w:type="dxa" w:w="7824"/>
          </w:tcPr>
          <w:p>
            <w:pPr>
              <w:spacing w:after="0"/>
            </w:pPr>
            <w:r>
              <w:rPr>
                <w:b w:val="0"/>
                <w:i w:val="0"/>
              </w:rPr>
              <w:t>The vendor's own measurements (optional).</w:t>
            </w:r>
          </w:p>
        </w:tc>
      </w:tr>
      <w:tr>
        <w:trPr>
          <w:cantSplit w:val="true"/>
        </w:trPr>
        <w:tc>
          <w:tcPr>
            <w:tcW w:type="dxa" w:w="1814"/>
          </w:tcPr>
          <w:p>
            <w:pPr>
              <w:spacing w:after="0"/>
            </w:pPr>
            <w:r>
              <w:rPr>
                <w:b/>
                <w:i w:val="0"/>
              </w:rPr>
              <w:t>Audit</w:t>
            </w:r>
          </w:p>
        </w:tc>
        <w:tc>
          <w:tcPr>
            <w:tcW w:type="dxa" w:w="7824"/>
          </w:tcPr>
          <w:p>
            <w:pPr>
              <w:spacing w:after="40"/>
            </w:pPr>
            <w:r>
              <w:rPr>
                <w:b w:val="0"/>
                <w:i w:val="0"/>
              </w:rPr>
              <w:t>1. Process at least 200 test documents per language.</w:t>
            </w:r>
          </w:p>
          <w:p>
            <w:pPr>
              <w:spacing w:after="40"/>
            </w:pPr>
            <w:r>
              <w:rPr>
                <w:b w:val="0"/>
                <w:i w:val="0"/>
              </w:rPr>
              <w:t>2. Capture the outgoing requests to the third-party AI.</w:t>
            </w:r>
          </w:p>
          <w:p>
            <w:pPr>
              <w:spacing w:after="40"/>
            </w:pPr>
            <w:r>
              <w:rPr>
                <w:b w:val="0"/>
                <w:i w:val="0"/>
              </w:rPr>
              <w:t>3. Determine for each canary value whether it appears in plain text; compute the rates per group.</w:t>
            </w:r>
          </w:p>
        </w:tc>
      </w:tr>
      <w:tr>
        <w:trPr>
          <w:cantSplit w:val="true"/>
        </w:trPr>
        <w:tc>
          <w:tcPr>
            <w:tcW w:type="dxa" w:w="1814"/>
          </w:tcPr>
          <w:p>
            <w:pPr>
              <w:spacing w:after="0"/>
            </w:pPr>
            <w:r>
              <w:rPr>
                <w:b/>
                <w:i w:val="0"/>
              </w:rPr>
              <w:t>Passed if</w:t>
            </w:r>
          </w:p>
        </w:tc>
        <w:tc>
          <w:tcPr>
            <w:tcW w:type="dxa" w:w="7824"/>
          </w:tcPr>
          <w:p>
            <w:pPr>
              <w:spacing w:after="0"/>
            </w:pPr>
            <w:r>
              <w:rPr>
                <w:b w:val="0"/>
                <w:i w:val="0"/>
              </w:rPr>
              <w:t>All three thresholds met, in German and in English.</w:t>
            </w:r>
          </w:p>
        </w:tc>
      </w:tr>
    </w:tbl>
    <w:p>
      <w:pPr>
        <w:pStyle w:val="Heading3"/>
      </w:pPr>
      <w:r>
        <w:rPr>
          <w:b w:val="0"/>
          <w:i w:val="0"/>
          <w:color w:val="8E4F1E"/>
        </w:rPr>
        <w:t xml:space="preserve">B-04  </w:t>
      </w:r>
      <w:r>
        <w:rPr>
          <w:b w:val="0"/>
          <w:i w:val="0"/>
        </w:rPr>
        <w:t>Mapping table stays</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Requirement</w:t>
            </w:r>
          </w:p>
        </w:tc>
        <w:tc>
          <w:tcPr>
            <w:tcW w:type="dxa" w:w="7824"/>
          </w:tcPr>
          <w:p>
            <w:pPr>
              <w:spacing w:after="0"/>
            </w:pPr>
            <w:r>
              <w:rPr>
                <w:b w:val="0"/>
                <w:i w:val="0"/>
              </w:rPr>
              <w:t>The mapping table (placeholder ↔ real value) never leaves the customer or the vendor. Placeholders in AI output are replaced back at the customer's site or at the vendor.</w:t>
            </w:r>
          </w:p>
        </w:tc>
      </w:tr>
      <w:tr>
        <w:trPr>
          <w:cantSplit w:val="true"/>
        </w:trPr>
        <w:tc>
          <w:tcPr>
            <w:tcW w:type="dxa" w:w="1814"/>
          </w:tcPr>
          <w:p>
            <w:pPr>
              <w:spacing w:after="0"/>
            </w:pPr>
            <w:r>
              <w:rPr>
                <w:b/>
                <w:i w:val="0"/>
              </w:rPr>
              <w:t>Evidence</w:t>
            </w:r>
          </w:p>
        </w:tc>
        <w:tc>
          <w:tcPr>
            <w:tcW w:type="dxa" w:w="7824"/>
          </w:tcPr>
          <w:p>
            <w:pPr>
              <w:spacing w:after="0"/>
            </w:pPr>
            <w:r>
              <w:rPr>
                <w:b w:val="0"/>
                <w:i w:val="0"/>
              </w:rPr>
              <w:t>Description of where the mapping table is stored and when it is deleted.</w:t>
            </w:r>
          </w:p>
        </w:tc>
      </w:tr>
      <w:tr>
        <w:trPr>
          <w:cantSplit w:val="true"/>
        </w:trPr>
        <w:tc>
          <w:tcPr>
            <w:tcW w:type="dxa" w:w="1814"/>
          </w:tcPr>
          <w:p>
            <w:pPr>
              <w:spacing w:after="0"/>
            </w:pPr>
            <w:r>
              <w:rPr>
                <w:b/>
                <w:i w:val="0"/>
              </w:rPr>
              <w:t>Audit</w:t>
            </w:r>
          </w:p>
        </w:tc>
        <w:tc>
          <w:tcPr>
            <w:tcW w:type="dxa" w:w="7824"/>
          </w:tcPr>
          <w:p>
            <w:pPr>
              <w:spacing w:after="40"/>
            </w:pPr>
            <w:r>
              <w:rPr>
                <w:b w:val="0"/>
                <w:i w:val="0"/>
              </w:rPr>
              <w:t>1. Search outgoing requests for mappings (placeholder next to canary value).</w:t>
            </w:r>
          </w:p>
        </w:tc>
      </w:tr>
      <w:tr>
        <w:trPr>
          <w:cantSplit w:val="true"/>
        </w:trPr>
        <w:tc>
          <w:tcPr>
            <w:tcW w:type="dxa" w:w="1814"/>
          </w:tcPr>
          <w:p>
            <w:pPr>
              <w:spacing w:after="0"/>
            </w:pPr>
            <w:r>
              <w:rPr>
                <w:b/>
                <w:i w:val="0"/>
              </w:rPr>
              <w:t>Passed if</w:t>
            </w:r>
          </w:p>
        </w:tc>
        <w:tc>
          <w:tcPr>
            <w:tcW w:type="dxa" w:w="7824"/>
          </w:tcPr>
          <w:p>
            <w:pPr>
              <w:spacing w:after="0"/>
            </w:pPr>
            <w:r>
              <w:rPr>
                <w:b w:val="0"/>
                <w:i w:val="0"/>
              </w:rPr>
              <w:t>No mapping in outgoing traffic.</w:t>
            </w:r>
          </w:p>
        </w:tc>
      </w:tr>
    </w:tbl>
    <w:p>
      <w:pPr>
        <w:pStyle w:val="Heading3"/>
      </w:pPr>
      <w:r>
        <w:rPr>
          <w:b w:val="0"/>
          <w:i w:val="0"/>
          <w:color w:val="8E4F1E"/>
        </w:rPr>
        <w:t xml:space="preserve">B-05  </w:t>
      </w:r>
      <w:r>
        <w:rPr>
          <w:b w:val="0"/>
          <w:i w:val="0"/>
        </w:rPr>
        <w:t>Pseudonymisation fails closed</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Requirement</w:t>
            </w:r>
          </w:p>
        </w:tc>
        <w:tc>
          <w:tcPr>
            <w:tcW w:type="dxa" w:w="7824"/>
          </w:tcPr>
          <w:p>
            <w:pPr>
              <w:spacing w:after="0"/>
            </w:pPr>
            <w:r>
              <w:rPr>
                <w:b w:val="0"/>
                <w:i w:val="0"/>
              </w:rPr>
              <w:t>If pseudonymisation fails or cannot be reached, nothing is sent to the third-party AI.</w:t>
            </w:r>
          </w:p>
        </w:tc>
      </w:tr>
      <w:tr>
        <w:trPr>
          <w:cantSplit w:val="true"/>
        </w:trPr>
        <w:tc>
          <w:tcPr>
            <w:tcW w:type="dxa" w:w="1814"/>
          </w:tcPr>
          <w:p>
            <w:pPr>
              <w:spacing w:after="0"/>
            </w:pPr>
            <w:r>
              <w:rPr>
                <w:b/>
                <w:i w:val="0"/>
              </w:rPr>
              <w:t>Evidence</w:t>
            </w:r>
          </w:p>
        </w:tc>
        <w:tc>
          <w:tcPr>
            <w:tcW w:type="dxa" w:w="7824"/>
          </w:tcPr>
          <w:p>
            <w:pPr>
              <w:spacing w:after="0"/>
            </w:pPr>
            <w:r>
              <w:rPr>
                <w:b w:val="0"/>
                <w:i w:val="0"/>
              </w:rPr>
              <w:t>Description of the failure behaviour.</w:t>
            </w:r>
          </w:p>
        </w:tc>
      </w:tr>
      <w:tr>
        <w:trPr>
          <w:cantSplit w:val="true"/>
        </w:trPr>
        <w:tc>
          <w:tcPr>
            <w:tcW w:type="dxa" w:w="1814"/>
          </w:tcPr>
          <w:p>
            <w:pPr>
              <w:spacing w:after="0"/>
            </w:pPr>
            <w:r>
              <w:rPr>
                <w:b/>
                <w:i w:val="0"/>
              </w:rPr>
              <w:t>Audit</w:t>
            </w:r>
          </w:p>
        </w:tc>
        <w:tc>
          <w:tcPr>
            <w:tcW w:type="dxa" w:w="7824"/>
          </w:tcPr>
          <w:p>
            <w:pPr>
              <w:spacing w:after="40"/>
            </w:pPr>
            <w:r>
              <w:rPr>
                <w:b w:val="0"/>
                <w:i w:val="0"/>
              </w:rPr>
              <w:t>1. Deliberately disturb the pseudonymisation (stop it, force a timeout, return an invalid result).</w:t>
            </w:r>
          </w:p>
          <w:p>
            <w:pPr>
              <w:spacing w:after="40"/>
            </w:pPr>
            <w:r>
              <w:rPr>
                <w:b w:val="0"/>
                <w:i w:val="0"/>
              </w:rPr>
              <w:t>2. Check whether any request reaches the third-party AI.</w:t>
            </w:r>
          </w:p>
        </w:tc>
      </w:tr>
      <w:tr>
        <w:trPr>
          <w:cantSplit w:val="true"/>
        </w:trPr>
        <w:tc>
          <w:tcPr>
            <w:tcW w:type="dxa" w:w="1814"/>
          </w:tcPr>
          <w:p>
            <w:pPr>
              <w:spacing w:after="0"/>
            </w:pPr>
            <w:r>
              <w:rPr>
                <w:b/>
                <w:i w:val="0"/>
              </w:rPr>
              <w:t>Passed if</w:t>
            </w:r>
          </w:p>
        </w:tc>
        <w:tc>
          <w:tcPr>
            <w:tcW w:type="dxa" w:w="7824"/>
          </w:tcPr>
          <w:p>
            <w:pPr>
              <w:spacing w:after="0"/>
            </w:pPr>
            <w:r>
              <w:rPr>
                <w:b w:val="0"/>
                <w:i w:val="0"/>
              </w:rPr>
              <w:t>Under no disturbance does a request reach the third-party AI.</w:t>
            </w:r>
          </w:p>
        </w:tc>
      </w:tr>
    </w:tbl>
    <w:p>
      <w:pPr>
        <w:pStyle w:val="Heading3"/>
      </w:pPr>
      <w:r>
        <w:rPr>
          <w:b w:val="0"/>
          <w:i w:val="0"/>
          <w:color w:val="8E4F1E"/>
        </w:rPr>
        <w:t xml:space="preserve">B-06  </w:t>
      </w:r>
      <w:r>
        <w:rPr>
          <w:b w:val="0"/>
          <w:i w:val="0"/>
        </w:rPr>
        <w:t>Visible to users</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Requirement</w:t>
            </w:r>
          </w:p>
        </w:tc>
        <w:tc>
          <w:tcPr>
            <w:tcW w:type="dxa" w:w="7824"/>
          </w:tcPr>
          <w:p>
            <w:pPr>
              <w:spacing w:after="0"/>
            </w:pPr>
            <w:r>
              <w:rPr>
                <w:b w:val="0"/>
                <w:i w:val="0"/>
              </w:rPr>
              <w:t>Users can see what was sent to the third-party AI (preview before sending, or a log).</w:t>
            </w:r>
          </w:p>
        </w:tc>
      </w:tr>
      <w:tr>
        <w:trPr>
          <w:cantSplit w:val="true"/>
        </w:trPr>
        <w:tc>
          <w:tcPr>
            <w:tcW w:type="dxa" w:w="1814"/>
          </w:tcPr>
          <w:p>
            <w:pPr>
              <w:spacing w:after="0"/>
            </w:pPr>
            <w:r>
              <w:rPr>
                <w:b/>
                <w:i w:val="0"/>
              </w:rPr>
              <w:t>Evidence</w:t>
            </w:r>
          </w:p>
        </w:tc>
        <w:tc>
          <w:tcPr>
            <w:tcW w:type="dxa" w:w="7824"/>
          </w:tcPr>
          <w:p>
            <w:pPr>
              <w:spacing w:after="0"/>
            </w:pPr>
            <w:r>
              <w:rPr>
                <w:b w:val="0"/>
                <w:i w:val="0"/>
              </w:rPr>
              <w:t>Screenshots of the preview or log.</w:t>
            </w:r>
          </w:p>
        </w:tc>
      </w:tr>
      <w:tr>
        <w:trPr>
          <w:cantSplit w:val="true"/>
        </w:trPr>
        <w:tc>
          <w:tcPr>
            <w:tcW w:type="dxa" w:w="1814"/>
          </w:tcPr>
          <w:p>
            <w:pPr>
              <w:spacing w:after="0"/>
            </w:pPr>
            <w:r>
              <w:rPr>
                <w:b/>
                <w:i w:val="0"/>
              </w:rPr>
              <w:t>Audit</w:t>
            </w:r>
          </w:p>
        </w:tc>
        <w:tc>
          <w:tcPr>
            <w:tcW w:type="dxa" w:w="7824"/>
          </w:tcPr>
          <w:p>
            <w:pPr>
              <w:spacing w:after="40"/>
            </w:pPr>
            <w:r>
              <w:rPr>
                <w:b w:val="0"/>
                <w:i w:val="0"/>
              </w:rPr>
              <w:t>1. Open the preview or log in the product and compare it with the capture.</w:t>
            </w:r>
          </w:p>
        </w:tc>
      </w:tr>
      <w:tr>
        <w:trPr>
          <w:cantSplit w:val="true"/>
        </w:trPr>
        <w:tc>
          <w:tcPr>
            <w:tcW w:type="dxa" w:w="1814"/>
          </w:tcPr>
          <w:p>
            <w:pPr>
              <w:spacing w:after="0"/>
            </w:pPr>
            <w:r>
              <w:rPr>
                <w:b/>
                <w:i w:val="0"/>
              </w:rPr>
              <w:t>Passed if</w:t>
            </w:r>
          </w:p>
        </w:tc>
        <w:tc>
          <w:tcPr>
            <w:tcW w:type="dxa" w:w="7824"/>
          </w:tcPr>
          <w:p>
            <w:pPr>
              <w:spacing w:after="0"/>
            </w:pPr>
            <w:r>
              <w:rPr>
                <w:b w:val="0"/>
                <w:i w:val="0"/>
              </w:rPr>
              <w:t>Preview or log available and complete.</w:t>
            </w:r>
          </w:p>
        </w:tc>
      </w:tr>
    </w:tbl>
    <w:p>
      <w:pPr>
        <w:pStyle w:val="Heading3"/>
      </w:pPr>
      <w:r>
        <w:rPr>
          <w:b w:val="0"/>
          <w:i w:val="0"/>
          <w:color w:val="8E4F1E"/>
        </w:rPr>
        <w:t xml:space="preserve">B-07  </w:t>
      </w:r>
      <w:r>
        <w:rPr>
          <w:b w:val="0"/>
          <w:i w:val="0"/>
        </w:rPr>
        <w:t>Contract with the third-party AI</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Requirement</w:t>
            </w:r>
          </w:p>
        </w:tc>
        <w:tc>
          <w:tcPr>
            <w:tcW w:type="dxa" w:w="7824"/>
          </w:tcPr>
          <w:p>
            <w:pPr>
              <w:spacing w:after="0"/>
            </w:pPr>
            <w:r>
              <w:rPr>
                <w:b w:val="0"/>
                <w:i w:val="0"/>
              </w:rPr>
              <w:t>The contract with the third-party AI provider excludes training on the data, limits retention to at most 30 days, and provides for processing in the EEA or a valid basis for transfers to third countries.</w:t>
            </w:r>
          </w:p>
        </w:tc>
      </w:tr>
      <w:tr>
        <w:trPr>
          <w:cantSplit w:val="true"/>
        </w:trPr>
        <w:tc>
          <w:tcPr>
            <w:tcW w:type="dxa" w:w="1814"/>
          </w:tcPr>
          <w:p>
            <w:pPr>
              <w:spacing w:after="0"/>
            </w:pPr>
            <w:r>
              <w:rPr>
                <w:b/>
                <w:i w:val="0"/>
              </w:rPr>
              <w:t>Threshold</w:t>
            </w:r>
          </w:p>
        </w:tc>
        <w:tc>
          <w:tcPr>
            <w:tcW w:type="dxa" w:w="7824"/>
          </w:tcPr>
          <w:p>
            <w:pPr>
              <w:spacing w:after="0"/>
            </w:pPr>
            <w:r>
              <w:rPr>
                <w:b/>
                <w:i w:val="0"/>
                <w:color w:val="8E4F1E"/>
              </w:rPr>
              <w:t>Retention ≤ 30 days.</w:t>
            </w:r>
          </w:p>
        </w:tc>
      </w:tr>
      <w:tr>
        <w:trPr>
          <w:cantSplit w:val="true"/>
        </w:trPr>
        <w:tc>
          <w:tcPr>
            <w:tcW w:type="dxa" w:w="1814"/>
          </w:tcPr>
          <w:p>
            <w:pPr>
              <w:spacing w:after="0"/>
            </w:pPr>
            <w:r>
              <w:rPr>
                <w:b/>
                <w:i w:val="0"/>
              </w:rPr>
              <w:t>Evidence</w:t>
            </w:r>
          </w:p>
        </w:tc>
        <w:tc>
          <w:tcPr>
            <w:tcW w:type="dxa" w:w="7824"/>
          </w:tcPr>
          <w:p>
            <w:pPr>
              <w:spacing w:after="0"/>
            </w:pPr>
            <w:r>
              <w:rPr>
                <w:b w:val="0"/>
                <w:i w:val="0"/>
              </w:rPr>
              <w:t>Contract or terms of the third-party AI, selected region.</w:t>
            </w:r>
          </w:p>
        </w:tc>
      </w:tr>
      <w:tr>
        <w:trPr>
          <w:cantSplit w:val="true"/>
        </w:trPr>
        <w:tc>
          <w:tcPr>
            <w:tcW w:type="dxa" w:w="1814"/>
          </w:tcPr>
          <w:p>
            <w:pPr>
              <w:spacing w:after="0"/>
            </w:pPr>
            <w:r>
              <w:rPr>
                <w:b/>
                <w:i w:val="0"/>
              </w:rPr>
              <w:t>Audit</w:t>
            </w:r>
          </w:p>
        </w:tc>
        <w:tc>
          <w:tcPr>
            <w:tcW w:type="dxa" w:w="7824"/>
          </w:tcPr>
          <w:p>
            <w:pPr>
              <w:spacing w:after="40"/>
            </w:pPr>
            <w:r>
              <w:rPr>
                <w:b w:val="0"/>
                <w:i w:val="0"/>
              </w:rPr>
              <w:t>1. Review the contract and configuration (region, retention).</w:t>
            </w:r>
          </w:p>
        </w:tc>
      </w:tr>
      <w:tr>
        <w:trPr>
          <w:cantSplit w:val="true"/>
        </w:trPr>
        <w:tc>
          <w:tcPr>
            <w:tcW w:type="dxa" w:w="1814"/>
          </w:tcPr>
          <w:p>
            <w:pPr>
              <w:spacing w:after="0"/>
            </w:pPr>
            <w:r>
              <w:rPr>
                <w:b/>
                <w:i w:val="0"/>
              </w:rPr>
              <w:t>Passed if</w:t>
            </w:r>
          </w:p>
        </w:tc>
        <w:tc>
          <w:tcPr>
            <w:tcW w:type="dxa" w:w="7824"/>
          </w:tcPr>
          <w:p>
            <w:pPr>
              <w:spacing w:after="0"/>
            </w:pPr>
            <w:r>
              <w:rPr>
                <w:b w:val="0"/>
                <w:i w:val="0"/>
              </w:rPr>
              <w:t>No training, retention ≤ 30 days, valid transfer basis.</w:t>
            </w:r>
          </w:p>
        </w:tc>
      </w:tr>
    </w:tbl>
    <w:p>
      <w:pPr>
        <w:pStyle w:val="Heading3"/>
      </w:pPr>
      <w:r>
        <w:rPr>
          <w:b w:val="0"/>
          <w:i w:val="0"/>
          <w:color w:val="8E4F1E"/>
        </w:rPr>
        <w:t xml:space="preserve">B-08  </w:t>
      </w:r>
      <w:r>
        <w:rPr>
          <w:b w:val="0"/>
          <w:i w:val="0"/>
        </w:rPr>
        <w:t>Correct wording</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Requirement</w:t>
            </w:r>
          </w:p>
        </w:tc>
        <w:tc>
          <w:tcPr>
            <w:tcW w:type="dxa" w:w="7824"/>
          </w:tcPr>
          <w:p>
            <w:pPr>
              <w:spacing w:after="0"/>
            </w:pPr>
            <w:r>
              <w:rPr>
                <w:b w:val="0"/>
                <w:i w:val="0"/>
              </w:rPr>
              <w:t>The product and its marketing do not call pseudonymised data anonymous or anonymised.</w:t>
            </w:r>
          </w:p>
        </w:tc>
      </w:tr>
      <w:tr>
        <w:trPr>
          <w:cantSplit w:val="true"/>
        </w:trPr>
        <w:tc>
          <w:tcPr>
            <w:tcW w:type="dxa" w:w="1814"/>
          </w:tcPr>
          <w:p>
            <w:pPr>
              <w:spacing w:after="0"/>
            </w:pPr>
            <w:r>
              <w:rPr>
                <w:b/>
                <w:i w:val="0"/>
              </w:rPr>
              <w:t>Evidence</w:t>
            </w:r>
          </w:p>
        </w:tc>
        <w:tc>
          <w:tcPr>
            <w:tcW w:type="dxa" w:w="7824"/>
          </w:tcPr>
          <w:p>
            <w:pPr>
              <w:spacing w:after="0"/>
            </w:pPr>
            <w:r>
              <w:rPr>
                <w:b w:val="0"/>
                <w:i w:val="0"/>
              </w:rPr>
              <w:t>Addresses of product and marketing texts.</w:t>
            </w:r>
          </w:p>
        </w:tc>
      </w:tr>
      <w:tr>
        <w:trPr>
          <w:cantSplit w:val="true"/>
        </w:trPr>
        <w:tc>
          <w:tcPr>
            <w:tcW w:type="dxa" w:w="1814"/>
          </w:tcPr>
          <w:p>
            <w:pPr>
              <w:spacing w:after="0"/>
            </w:pPr>
            <w:r>
              <w:rPr>
                <w:b/>
                <w:i w:val="0"/>
              </w:rPr>
              <w:t>Audit</w:t>
            </w:r>
          </w:p>
        </w:tc>
        <w:tc>
          <w:tcPr>
            <w:tcW w:type="dxa" w:w="7824"/>
          </w:tcPr>
          <w:p>
            <w:pPr>
              <w:spacing w:after="40"/>
            </w:pPr>
            <w:r>
              <w:rPr>
                <w:b w:val="0"/>
                <w:i w:val="0"/>
              </w:rPr>
              <w:t>1. Review product and marketing texts.</w:t>
            </w:r>
          </w:p>
        </w:tc>
      </w:tr>
      <w:tr>
        <w:trPr>
          <w:cantSplit w:val="true"/>
        </w:trPr>
        <w:tc>
          <w:tcPr>
            <w:tcW w:type="dxa" w:w="1814"/>
          </w:tcPr>
          <w:p>
            <w:pPr>
              <w:spacing w:after="0"/>
            </w:pPr>
            <w:r>
              <w:rPr>
                <w:b/>
                <w:i w:val="0"/>
              </w:rPr>
              <w:t>Passed if</w:t>
            </w:r>
          </w:p>
        </w:tc>
        <w:tc>
          <w:tcPr>
            <w:tcW w:type="dxa" w:w="7824"/>
          </w:tcPr>
          <w:p>
            <w:pPr>
              <w:spacing w:after="0"/>
            </w:pPr>
            <w:r>
              <w:rPr>
                <w:b w:val="0"/>
                <w:i w:val="0"/>
              </w:rPr>
              <w:t>Nothing described as anonymous.</w:t>
            </w:r>
          </w:p>
        </w:tc>
      </w:tr>
    </w:tbl>
    <w:p>
      <w:pPr>
        <w:pStyle w:val="Heading1"/>
      </w:pPr>
      <w:r>
        <w:t>5  NOCIP index</w:t>
      </w:r>
    </w:p>
    <w:p>
      <w:r>
        <w:rPr>
          <w:b w:val="0"/>
          <w:i w:val="0"/>
        </w:rPr>
        <w:t>Within the tier, the NOCIP index rates the implementation with 0 to 10 whole points: five groups of 0 to 2 points each. The index never changes the tier; it is shown next to it (e.g. “Silver · 8/10”).</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2041"/>
        <w:gridCol w:w="3798"/>
        <w:gridCol w:w="3798"/>
      </w:tblGrid>
      <w:tr>
        <w:trPr>
          <w:cantSplit w:val="true"/>
          <w:tblHeader w:val="true"/>
        </w:trPr>
        <w:tc>
          <w:tcPr>
            <w:tcW w:type="dxa" w:w="2041"/>
            <w:shd w:val="clear" w:color="auto" w:fill="EEF2F6"/>
          </w:tcPr>
          <w:p>
            <w:pPr>
              <w:spacing w:after="0"/>
            </w:pPr>
            <w:r>
              <w:rPr>
                <w:b/>
                <w:i w:val="0"/>
                <w:color w:val="586676"/>
                <w:sz w:val="16"/>
              </w:rPr>
              <w:t>Group</w:t>
            </w:r>
          </w:p>
        </w:tc>
        <w:tc>
          <w:tcPr>
            <w:tcW w:type="dxa" w:w="3798"/>
            <w:shd w:val="clear" w:color="auto" w:fill="EEF2F6"/>
          </w:tcPr>
          <w:p>
            <w:pPr>
              <w:spacing w:after="0"/>
            </w:pPr>
            <w:r>
              <w:rPr>
                <w:b/>
                <w:i w:val="0"/>
                <w:color w:val="586676"/>
                <w:sz w:val="16"/>
              </w:rPr>
              <w:t>1 point</w:t>
            </w:r>
          </w:p>
        </w:tc>
        <w:tc>
          <w:tcPr>
            <w:tcW w:type="dxa" w:w="3798"/>
            <w:shd w:val="clear" w:color="auto" w:fill="EEF2F6"/>
          </w:tcPr>
          <w:p>
            <w:pPr>
              <w:spacing w:after="0"/>
            </w:pPr>
            <w:r>
              <w:rPr>
                <w:b/>
                <w:i w:val="0"/>
                <w:color w:val="586676"/>
                <w:sz w:val="16"/>
              </w:rPr>
              <w:t>2 points</w:t>
            </w:r>
          </w:p>
        </w:tc>
      </w:tr>
      <w:tr>
        <w:trPr>
          <w:cantSplit w:val="true"/>
        </w:trPr>
        <w:tc>
          <w:tcPr>
            <w:tcW w:type="dxa" w:w="2041"/>
          </w:tcPr>
          <w:p>
            <w:pPr>
              <w:spacing w:after="0"/>
            </w:pPr>
            <w:r>
              <w:rPr>
                <w:b/>
                <w:i w:val="0"/>
              </w:rPr>
              <w:t>I-1 Transparency</w:t>
            </w:r>
          </w:p>
        </w:tc>
        <w:tc>
          <w:tcPr>
            <w:tcW w:type="dxa" w:w="3798"/>
          </w:tcPr>
          <w:p>
            <w:pPr>
              <w:spacing w:after="0"/>
            </w:pPr>
            <w:r>
              <w:rPr>
                <w:b w:val="0"/>
                <w:i w:val="0"/>
              </w:rPr>
              <w:t>A data-flow diagram is published that shows the processing location of every AI function.</w:t>
            </w:r>
          </w:p>
        </w:tc>
        <w:tc>
          <w:tcPr>
            <w:tcW w:type="dxa" w:w="3798"/>
          </w:tcPr>
          <w:p>
            <w:pPr>
              <w:spacing w:after="0"/>
            </w:pPr>
            <w:r>
              <w:rPr>
                <w:b w:val="0"/>
                <w:i w:val="0"/>
              </w:rPr>
              <w:t>In addition, the product shows for each AI function or request where it is processed.</w:t>
            </w:r>
          </w:p>
        </w:tc>
      </w:tr>
      <w:tr>
        <w:trPr>
          <w:cantSplit w:val="true"/>
        </w:trPr>
        <w:tc>
          <w:tcPr>
            <w:tcW w:type="dxa" w:w="2041"/>
          </w:tcPr>
          <w:p>
            <w:pPr>
              <w:spacing w:after="0"/>
            </w:pPr>
            <w:r>
              <w:rPr>
                <w:b/>
                <w:i w:val="0"/>
              </w:rPr>
              <w:t>I-2 Customer control</w:t>
            </w:r>
          </w:p>
        </w:tc>
        <w:tc>
          <w:tcPr>
            <w:tcW w:type="dxa" w:w="3798"/>
          </w:tcPr>
          <w:p>
            <w:pPr>
              <w:spacing w:after="0"/>
            </w:pPr>
            <w:r>
              <w:rPr>
                <w:b w:val="0"/>
                <w:i w:val="0"/>
              </w:rPr>
              <w:t>The customer can switch off every external AI connection; the product then continues with reduced functions. (Gold: met.)</w:t>
            </w:r>
          </w:p>
        </w:tc>
        <w:tc>
          <w:tcPr>
            <w:tcW w:type="dxa" w:w="3798"/>
          </w:tcPr>
          <w:p>
            <w:pPr>
              <w:spacing w:after="0"/>
            </w:pPr>
            <w:r>
              <w:rPr>
                <w:b w:val="0"/>
                <w:i w:val="0"/>
              </w:rPr>
              <w:t>In addition, all AI functions are available in a variant that runs entirely at the customer's site. (Gold: met.)</w:t>
            </w:r>
          </w:p>
        </w:tc>
      </w:tr>
      <w:tr>
        <w:trPr>
          <w:cantSplit w:val="true"/>
        </w:trPr>
        <w:tc>
          <w:tcPr>
            <w:tcW w:type="dxa" w:w="2041"/>
          </w:tcPr>
          <w:p>
            <w:pPr>
              <w:spacing w:after="0"/>
            </w:pPr>
            <w:r>
              <w:rPr>
                <w:b/>
                <w:i w:val="0"/>
              </w:rPr>
              <w:t>I-3 Data minimisation</w:t>
            </w:r>
          </w:p>
        </w:tc>
        <w:tc>
          <w:tcPr>
            <w:tcW w:type="dxa" w:w="3798"/>
          </w:tcPr>
          <w:p>
            <w:pPr>
              <w:spacing w:after="0"/>
            </w:pPr>
            <w:r>
              <w:rPr>
                <w:b w:val="0"/>
                <w:i w:val="0"/>
              </w:rPr>
              <w:t>AI input and output are kept outside the customer for at most 30 days. (Gold: met.)</w:t>
            </w:r>
          </w:p>
        </w:tc>
        <w:tc>
          <w:tcPr>
            <w:tcW w:type="dxa" w:w="3798"/>
          </w:tcPr>
          <w:p>
            <w:pPr>
              <w:spacing w:after="0"/>
            </w:pPr>
            <w:r>
              <w:rPr>
                <w:b w:val="0"/>
                <w:i w:val="0"/>
              </w:rPr>
              <w:t>In addition, nothing is kept outside the customer beyond processing, and local logs contain content only if the customer switches this on.</w:t>
            </w:r>
          </w:p>
        </w:tc>
      </w:tr>
      <w:tr>
        <w:trPr>
          <w:cantSplit w:val="true"/>
        </w:trPr>
        <w:tc>
          <w:tcPr>
            <w:tcW w:type="dxa" w:w="2041"/>
          </w:tcPr>
          <w:p>
            <w:pPr>
              <w:spacing w:after="0"/>
            </w:pPr>
            <w:r>
              <w:rPr>
                <w:b/>
                <w:i w:val="0"/>
              </w:rPr>
              <w:t>I-4 Integrity</w:t>
            </w:r>
          </w:p>
        </w:tc>
        <w:tc>
          <w:tcPr>
            <w:tcW w:type="dxa" w:w="3798"/>
          </w:tcPr>
          <w:p>
            <w:pPr>
              <w:spacing w:after="0"/>
            </w:pPr>
            <w:r>
              <w:rPr>
                <w:b w:val="0"/>
                <w:i w:val="0"/>
              </w:rPr>
              <w:t>The product verifies the signature or checksum of every model before loading it.</w:t>
            </w:r>
          </w:p>
        </w:tc>
        <w:tc>
          <w:tcPr>
            <w:tcW w:type="dxa" w:w="3798"/>
          </w:tcPr>
          <w:p>
            <w:pPr>
              <w:spacing w:after="0"/>
            </w:pPr>
            <w:r>
              <w:rPr>
                <w:b w:val="0"/>
                <w:i w:val="0"/>
              </w:rPr>
              <w:t>In addition, local stores holding content or mapping tables are encrypted (or set-up with operating-system encryption is documented).</w:t>
            </w:r>
          </w:p>
        </w:tc>
      </w:tr>
      <w:tr>
        <w:trPr>
          <w:cantSplit w:val="true"/>
        </w:trPr>
        <w:tc>
          <w:tcPr>
            <w:tcW w:type="dxa" w:w="2041"/>
          </w:tcPr>
          <w:p>
            <w:pPr>
              <w:spacing w:after="0"/>
            </w:pPr>
            <w:r>
              <w:rPr>
                <w:b/>
                <w:i w:val="0"/>
              </w:rPr>
              <w:t>I-5 Verifiability</w:t>
            </w:r>
          </w:p>
        </w:tc>
        <w:tc>
          <w:tcPr>
            <w:tcW w:type="dxa" w:w="3798"/>
          </w:tcPr>
          <w:p>
            <w:pPr>
              <w:spacing w:after="0"/>
            </w:pPr>
            <w:r>
              <w:rPr>
                <w:b w:val="0"/>
                <w:i w:val="0"/>
              </w:rPr>
              <w:t>The customer can view a log of all external AI requests (Gold: of all outgoing connections).</w:t>
            </w:r>
          </w:p>
        </w:tc>
        <w:tc>
          <w:tcPr>
            <w:tcW w:type="dxa" w:w="3798"/>
          </w:tcPr>
          <w:p>
            <w:pPr>
              <w:spacing w:after="0"/>
            </w:pPr>
            <w:r>
              <w:rPr>
                <w:b w:val="0"/>
                <w:i w:val="0"/>
              </w:rPr>
              <w:t>In addition, the vendor gives NOCIP permanent test access or a test installation for unannounced spot checks.</w:t>
            </w:r>
          </w:p>
        </w:tc>
      </w:tr>
    </w:tbl>
    <w:p>
      <w:pPr>
        <w:pStyle w:val="Heading1"/>
      </w:pPr>
      <w:r>
        <w:t>6  Rules</w:t>
      </w:r>
    </w:p>
    <w:p>
      <w:pPr>
        <w:spacing w:after="60"/>
        <w:ind w:left="340" w:hanging="255"/>
      </w:pPr>
      <w:r>
        <w:rPr>
          <w:b w:val="0"/>
          <w:i w:val="0"/>
          <w:color w:val="1C3550"/>
        </w:rPr>
        <w:t xml:space="preserve">– </w:t>
      </w:r>
      <w:r>
        <w:rPr>
          <w:b/>
          <w:i w:val="0"/>
        </w:rPr>
        <w:t xml:space="preserve">Tier: </w:t>
      </w:r>
      <w:r>
        <w:rPr>
          <w:b w:val="0"/>
          <w:i w:val="0"/>
        </w:rPr>
        <w:t>A product receives the highest tier whose criteria it fully meets; the common criteria (C) always apply. Silver is met when all criteria of the applicable variant(s) are met.</w:t>
      </w:r>
    </w:p>
    <w:p>
      <w:pPr>
        <w:spacing w:after="60"/>
        <w:ind w:left="340" w:hanging="255"/>
      </w:pPr>
      <w:r>
        <w:rPr>
          <w:b w:val="0"/>
          <w:i w:val="0"/>
          <w:color w:val="1C3550"/>
        </w:rPr>
        <w:t xml:space="preserve">– </w:t>
      </w:r>
      <w:r>
        <w:rPr>
          <w:b/>
          <w:i w:val="0"/>
        </w:rPr>
        <w:t xml:space="preserve">Validity: </w:t>
      </w:r>
      <w:r>
        <w:rPr>
          <w:b w:val="0"/>
          <w:i w:val="0"/>
        </w:rPr>
        <w:t>A label is valid for 12 months for the audited product version and later versions without changes to the AI architecture. Renewal requires a new audit.</w:t>
      </w:r>
    </w:p>
    <w:p>
      <w:pPr>
        <w:spacing w:after="60"/>
        <w:ind w:left="340" w:hanging="255"/>
      </w:pPr>
      <w:r>
        <w:rPr>
          <w:b w:val="0"/>
          <w:i w:val="0"/>
          <w:color w:val="1C3550"/>
        </w:rPr>
        <w:t xml:space="preserve">– </w:t>
      </w:r>
      <w:r>
        <w:rPr>
          <w:b/>
          <w:i w:val="0"/>
        </w:rPr>
        <w:t xml:space="preserve">Register: </w:t>
      </w:r>
      <w:r>
        <w:rPr>
          <w:b w:val="0"/>
          <w:i w:val="0"/>
        </w:rPr>
        <w:t>Every label receives an ID (e.g. NOCIP-G-2026-0001) and a public entry on nocip.com with product, version, tier, index, catalogue version and validity. The label's seal carries the ID as a number in its ring (e.g. “GEPRÜFT · NR. G-2026-0001”).</w:t>
      </w:r>
    </w:p>
    <w:p>
      <w:pPr>
        <w:spacing w:after="60"/>
        <w:ind w:left="340" w:hanging="255"/>
      </w:pPr>
      <w:r>
        <w:rPr>
          <w:b w:val="0"/>
          <w:i w:val="0"/>
          <w:color w:val="1C3550"/>
        </w:rPr>
        <w:t xml:space="preserve">– </w:t>
      </w:r>
      <w:r>
        <w:rPr>
          <w:b/>
          <w:i w:val="0"/>
        </w:rPr>
        <w:t xml:space="preserve">Suspension and withdrawal: </w:t>
      </w:r>
      <w:r>
        <w:rPr>
          <w:b w:val="0"/>
          <w:i w:val="0"/>
        </w:rPr>
        <w:t>If a change leads to a lower tier, the label is suspended until it is re-audited. False statements or misuse lead to withdrawal; the withdrawal stays visible in the register.</w:t>
      </w:r>
    </w:p>
    <w:p>
      <w:pPr>
        <w:spacing w:after="60"/>
        <w:ind w:left="340" w:hanging="255"/>
      </w:pPr>
      <w:r>
        <w:rPr>
          <w:b w:val="0"/>
          <w:i w:val="0"/>
          <w:color w:val="1C3550"/>
        </w:rPr>
        <w:t xml:space="preserve">– </w:t>
      </w:r>
      <w:r>
        <w:rPr>
          <w:b/>
          <w:i w:val="0"/>
        </w:rPr>
        <w:t xml:space="preserve">Fees: </w:t>
      </w:r>
      <w:r>
        <w:rPr>
          <w:b w:val="0"/>
          <w:i w:val="0"/>
        </w:rPr>
        <w:t>The audit and the label are free of charge. One retest after a failed criterion is free of charge.</w:t>
      </w:r>
    </w:p>
    <w:p>
      <w:pPr>
        <w:spacing w:after="60"/>
        <w:ind w:left="340" w:hanging="255"/>
      </w:pPr>
      <w:r>
        <w:rPr>
          <w:b w:val="0"/>
          <w:i w:val="0"/>
          <w:color w:val="1C3550"/>
        </w:rPr>
        <w:t xml:space="preserve">– </w:t>
      </w:r>
      <w:r>
        <w:rPr>
          <w:b/>
          <w:i w:val="0"/>
        </w:rPr>
        <w:t xml:space="preserve">Auditor: </w:t>
      </w:r>
      <w:r>
        <w:rPr>
          <w:b w:val="0"/>
          <w:i w:val="0"/>
        </w:rPr>
        <w:t>Audits are carried out by be next GmbH. be next itself offers pseudonymisation software (LexITanon); it audits its own products against the same checklist and publishes the full audit report.</w:t>
      </w:r>
    </w:p>
    <w:p>
      <w:pPr>
        <w:pStyle w:val="Heading1"/>
      </w:pPr>
      <w:r>
        <w:t>7  Audit environment</w:t>
      </w:r>
    </w:p>
    <w:p>
      <w:pPr>
        <w:spacing w:after="60"/>
        <w:ind w:left="340" w:hanging="255"/>
      </w:pPr>
      <w:r>
        <w:rPr>
          <w:b w:val="0"/>
          <w:i w:val="0"/>
          <w:color w:val="1C3550"/>
        </w:rPr>
        <w:t xml:space="preserve">– </w:t>
      </w:r>
      <w:r>
        <w:rPr>
          <w:b w:val="0"/>
          <w:i w:val="0"/>
        </w:rPr>
        <w:t>Test environment: the product runs on a NOCIP test machine or as test access. All traffic passes through an intercepting proxy (e.g. mitmproxy) with packet capture (all protocols, not only HTTP) and a DNS log.</w:t>
      </w:r>
    </w:p>
    <w:p>
      <w:pPr>
        <w:spacing w:after="60"/>
        <w:ind w:left="340" w:hanging="255"/>
      </w:pPr>
      <w:r>
        <w:rPr>
          <w:b w:val="0"/>
          <w:i w:val="0"/>
          <w:color w:val="1C3550"/>
        </w:rPr>
        <w:t xml:space="preserve">– </w:t>
      </w:r>
      <w:r>
        <w:rPr>
          <w:b w:val="0"/>
          <w:i w:val="0"/>
        </w:rPr>
        <w:t>TLS: the audit certificate is installed. If certificate pinning prevents inspection, the vendor provides a test build without pinning or a log of outgoing data; otherwise the affected criteria count as not demonstrated.</w:t>
      </w:r>
    </w:p>
    <w:p>
      <w:pPr>
        <w:spacing w:after="60"/>
        <w:ind w:left="340" w:hanging="255"/>
      </w:pPr>
      <w:r>
        <w:rPr>
          <w:b w:val="0"/>
          <w:i w:val="0"/>
          <w:color w:val="1C3550"/>
        </w:rPr>
        <w:t xml:space="preserve">– </w:t>
      </w:r>
      <w:r>
        <w:rPr>
          <w:b w:val="0"/>
          <w:i w:val="0"/>
        </w:rPr>
        <w:t>Canary values: new, unique canary values are generated for every audit, so that every match can be traced.</w:t>
      </w:r>
    </w:p>
    <w:p>
      <w:pPr>
        <w:spacing w:after="60"/>
        <w:ind w:left="340" w:hanging="255"/>
      </w:pPr>
      <w:r>
        <w:rPr>
          <w:b w:val="0"/>
          <w:i w:val="0"/>
          <w:color w:val="1C3550"/>
        </w:rPr>
        <w:t xml:space="preserve">– </w:t>
      </w:r>
      <w:r>
        <w:rPr>
          <w:b w:val="0"/>
          <w:i w:val="0"/>
        </w:rPr>
        <w:t>Test corpus: the current version of the NOCIP test corpus (German and English) is used; the version is stated in the audit report.</w:t>
      </w:r>
    </w:p>
    <w:p>
      <w:pPr>
        <w:spacing w:after="60"/>
        <w:ind w:left="340" w:hanging="255"/>
      </w:pPr>
      <w:r>
        <w:rPr>
          <w:b w:val="0"/>
          <w:i w:val="0"/>
          <w:color w:val="1C3550"/>
        </w:rPr>
        <w:t xml:space="preserve">– </w:t>
      </w:r>
      <w:r>
        <w:rPr>
          <w:b w:val="0"/>
          <w:i w:val="0"/>
        </w:rPr>
        <w:t>Retention: captures, logs and screenshots are kept for 3 years and not passed on.</w:t>
      </w:r>
    </w:p>
    <w:sectPr w:rsidR="00FC693F" w:rsidRPr="0006063C" w:rsidSect="00034616">
      <w:headerReference w:type="default" r:id="rId9"/>
      <w:footerReference w:type="default" r:id="rId10"/>
      <w:pgSz w:w="11906" w:h="16838"/>
      <w:pgMar w:top="1247" w:right="1134" w:bottom="1134"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pPr>
    <w:r>
      <w:rPr>
        <w:b w:val="0"/>
        <w:i w:val="0"/>
        <w:color w:val="586676"/>
        <w:sz w:val="16"/>
      </w:rPr>
      <w:t>nocip.com</w:t>
    </w:r>
    <w:r>
      <w:rPr>
        <w:b w:val="0"/>
        <w:i w:val="0"/>
        <w:color w:val="586676"/>
        <w:sz w:val="16"/>
      </w:rPr>
      <w:tab/>
      <w:t xml:space="preserve">Page </w:t>
    </w:r>
    <w:r>
      <w:rPr>
        <w:color w:val="586676"/>
        <w:sz w:val="16"/>
      </w:rPr>
      <w:fldChar w:fldCharType="begin"/>
      <w:instrText xml:space="preserve"> PAGE </w:instrText>
      <w:fldChar w:fldCharType="separate"/>
      <w:t>1</w:t>
      <w:fldChar w:fldCharType="end"/>
    </w:r>
    <w:r>
      <w:rPr>
        <w:b w:val="0"/>
        <w:i w:val="0"/>
        <w:color w:val="586676"/>
        <w:sz w:val="16"/>
      </w:rPr>
      <w:t xml:space="preserve"> of </w:t>
    </w:r>
    <w:r>
      <w:rPr>
        <w:color w:val="586676"/>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Pr>
    <w:r>
      <w:rPr>
        <w:b w:val="0"/>
        <w:i w:val="0"/>
        <w:color w:val="586676"/>
        <w:sz w:val="16"/>
      </w:rPr>
      <w:t>NOCIP · Criteria Catalogue</w:t>
    </w:r>
    <w:r>
      <w:rPr>
        <w:b w:val="0"/>
        <w:i w:val="0"/>
        <w:color w:val="586676"/>
        <w:sz w:val="16"/>
      </w:rPr>
      <w:tab/>
      <w:t>Version 1.0 · Draft · 2026-10-29</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88" w:lineRule="auto"/>
    </w:pPr>
    <w:rPr>
      <w:rFonts w:ascii="Public Sans" w:hAnsi="Public Sans" w:cs="Public Sans" w:eastAsia="Public Sans"/>
      <w:color w:val="142231"/>
      <w:sz w:val="19"/>
    </w:rPr>
  </w:style>
  <w:style w:type="paragraph" w:styleId="Header">
    <w:name w:val="header"/>
    <w:basedOn w:val="Normal"/>
    <w:link w:val="HeaderChar"/>
    <w:uiPriority w:val="99"/>
    <w:unhideWhenUsed/>
    <w:rsid w:val="00E618BF"/>
    <w:pPr>
      <w:tabs>
        <w:tab w:val="center" w:pos="4680"/>
        <w:tab w:pos="4680" w:val="clear"/>
        <w:tab w:val="right" w:pos="9360"/>
        <w:tab w:pos="9360" w:val="clear"/>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pos="4680" w:val="clear"/>
        <w:tab w:val="right" w:pos="9360"/>
        <w:tab w:pos="9360" w:val="clear"/>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00"/>
      <w:outlineLvl w:val="0"/>
    </w:pPr>
    <w:rPr>
      <w:rFonts w:ascii="Archivo ExtraBold" w:hAnsi="Archivo ExtraBold" w:cs="Archivo ExtraBold" w:eastAsia="Archivo ExtraBold"/>
      <w:b w:val="0"/>
      <w:bCs/>
      <w:i w:val="0"/>
      <w:color w:val="1C3550"/>
      <w:sz w:val="30"/>
      <w:szCs w:val="28"/>
    </w:rPr>
  </w:style>
  <w:style w:type="paragraph" w:styleId="Heading2">
    <w:name w:val="heading 2"/>
    <w:basedOn w:val="Normal"/>
    <w:next w:val="Normal"/>
    <w:link w:val="Heading2Char"/>
    <w:uiPriority w:val="9"/>
    <w:unhideWhenUsed/>
    <w:qFormat/>
    <w:rsid w:val="00FC693F"/>
    <w:pPr>
      <w:keepNext/>
      <w:keepLines/>
      <w:spacing w:before="280" w:after="100"/>
      <w:outlineLvl w:val="1"/>
    </w:pPr>
    <w:rPr>
      <w:rFonts w:ascii="Archivo ExtraBold" w:hAnsi="Archivo ExtraBold" w:cs="Archivo ExtraBold" w:eastAsia="Archivo ExtraBold"/>
      <w:b w:val="0"/>
      <w:bCs/>
      <w:i w:val="0"/>
      <w:color w:val="1C3550"/>
      <w:sz w:val="24"/>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Archivo ExtraBold" w:hAnsi="Archivo ExtraBold" w:cs="Archivo ExtraBold" w:eastAsia="Archivo ExtraBold"/>
      <w:b w:val="0"/>
      <w:bCs/>
      <w:i w:val="0"/>
      <w:color w:val="1C355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chivo ExtraBold" w:hAnsi="Archivo ExtraBold" w:cs="Archivo ExtraBold" w:eastAsia="Archivo ExtraBold"/>
      <w:b w:val="0"/>
      <w:color w:val="142231"/>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