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drawing>
          <wp:inline xmlns:a="http://schemas.openxmlformats.org/drawingml/2006/main" xmlns:pic="http://schemas.openxmlformats.org/drawingml/2006/picture">
            <wp:extent cx="1512000" cy="5972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nocip-wordmark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12000" cy="5972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560"/>
      </w:pPr>
      <w:r>
        <w:rPr>
          <w:b w:val="0"/>
          <w:i w:val="0"/>
          <w:color w:val="586676"/>
          <w:sz w:val="18"/>
        </w:rPr>
        <w:t>No Cloud Inference on Personal data</w:t>
      </w:r>
    </w:p>
    <w:p>
      <w:pPr>
        <w:pStyle w:val="Title"/>
        <w:spacing w:after="120"/>
      </w:pPr>
      <w:r>
        <w:rPr>
          <w:b w:val="0"/>
          <w:i w:val="0"/>
        </w:rPr>
        <w:t>Audit Report (Template)</w:t>
      </w:r>
    </w:p>
    <w:p>
      <w:pPr>
        <w:spacing w:after="360"/>
      </w:pPr>
      <w:r>
        <w:rPr>
          <w:b w:val="0"/>
          <w:i w:val="0"/>
          <w:color w:val="586676"/>
          <w:sz w:val="18"/>
        </w:rPr>
        <w:t>Version 1.0 · 2026-10-29 · Draft – not yet approved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Report number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Vendor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Product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Version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Tier applied for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Catalogue version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1.0</w:t>
            </w: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Test corpus version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Audit period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397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Auditor (be next GmbH)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Result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Tier reached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☐ Gold   ☐ Silver S-a   ☐ Silver S-b   ☐ Bronze   ☐ none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NOCIP index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____ / 10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Label ID</w:t>
            </w:r>
          </w:p>
        </w:tc>
        <w:tc>
          <w:tcPr>
            <w:tcW w:type="dxa" w:w="6803"/>
          </w:tcPr>
          <w:p>
            <w:pPr>
              <w:spacing w:after="0"/>
            </w:pPr>
            <w:r>
              <w:rPr>
                <w:b w:val="0"/>
                <w:i w:val="0"/>
              </w:rPr>
              <w:t>NOCIP-__-____-____</w:t>
            </w:r>
          </w:p>
        </w:tc>
      </w:tr>
      <w:tr>
        <w:trPr>
          <w:cantSplit w:val="true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Valid until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Results per criterion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850"/>
        <w:gridCol w:w="2835"/>
        <w:gridCol w:w="1474"/>
        <w:gridCol w:w="1474"/>
        <w:gridCol w:w="3005"/>
      </w:tblGrid>
      <w:tr>
        <w:trPr>
          <w:cantSplit w:val="true"/>
          <w:tblHeader w:val="true"/>
        </w:trPr>
        <w:tc>
          <w:tcPr>
            <w:tcW w:type="dxa" w:w="850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ID</w:t>
            </w:r>
          </w:p>
        </w:tc>
        <w:tc>
          <w:tcPr>
            <w:tcW w:type="dxa" w:w="283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Criterion</w:t>
            </w:r>
          </w:p>
        </w:tc>
        <w:tc>
          <w:tcPr>
            <w:tcW w:type="dxa" w:w="147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Tier</w:t>
            </w:r>
          </w:p>
        </w:tc>
        <w:tc>
          <w:tcPr>
            <w:tcW w:type="dxa" w:w="147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Result</w:t>
            </w:r>
          </w:p>
        </w:tc>
        <w:tc>
          <w:tcPr>
            <w:tcW w:type="dxa" w:w="300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Finding</w:t>
            </w: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Disclosure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Model inventory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No training on customer data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No content in telemetry and logs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C-05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Change notification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C-06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Connection list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C-07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Data processing agreement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1C3550"/>
              </w:rPr>
              <w:t>C-08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User-triggered reports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All tiers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Local inference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Offline operation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946A12"/>
              </w:rPr>
              <w:t>G-03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Verifiable models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Gold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Vendor-operated AI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Silver · S-a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Router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Silver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Router accuracy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Silver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5F6B78"/>
              </w:rPr>
              <w:t>S-04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Router fails closed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Silver · S-b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B-01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Pseudonymisation before transfer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B-02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Categories covered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B-03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Detection rate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B-04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Mapping table stays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B-05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Pseudonymisation fails closed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B-06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Visible to users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B-07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Contract with the third-party AI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850"/>
          </w:tcPr>
          <w:p>
            <w:pPr>
              <w:spacing w:after="0"/>
            </w:pPr>
            <w:r>
              <w:rPr>
                <w:b/>
                <w:i w:val="0"/>
                <w:color w:val="8E4F1E"/>
              </w:rPr>
              <w:t>B-08</w:t>
            </w:r>
          </w:p>
        </w:tc>
        <w:tc>
          <w:tcPr>
            <w:tcW w:type="dxa" w:w="2835"/>
          </w:tcPr>
          <w:p>
            <w:pPr>
              <w:spacing w:after="0"/>
            </w:pPr>
            <w:r>
              <w:rPr>
                <w:b w:val="0"/>
                <w:i w:val="0"/>
              </w:rPr>
              <w:t>Correct wording</w:t>
            </w: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 w:val="0"/>
                <w:i w:val="0"/>
              </w:rPr>
              <w:t>Bronze</w:t>
            </w:r>
          </w:p>
        </w:tc>
        <w:tc>
          <w:tcPr>
            <w:tcW w:type="dxa" w:w="1474"/>
          </w:tcPr>
          <w:p>
            <w:pPr>
              <w:spacing w:after="40"/>
            </w:pPr>
            <w:r>
              <w:rPr>
                <w:b w:val="0"/>
                <w:i w:val="0"/>
              </w:rPr>
              <w:t>☐ passed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failed</w:t>
            </w:r>
          </w:p>
          <w:p>
            <w:pPr>
              <w:spacing w:after="40"/>
            </w:pPr>
            <w:r>
              <w:rPr>
                <w:b w:val="0"/>
                <w:i w:val="0"/>
              </w:rPr>
              <w:t>☐ not applicable</w:t>
            </w:r>
          </w:p>
        </w:tc>
        <w:tc>
          <w:tcPr>
            <w:tcW w:type="dxa" w:w="3005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Measured values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1134"/>
        <w:gridCol w:w="3969"/>
        <w:gridCol w:w="1360"/>
        <w:gridCol w:w="1587"/>
        <w:gridCol w:w="1587"/>
      </w:tblGrid>
      <w:tr>
        <w:trPr>
          <w:cantSplit w:val="true"/>
          <w:tblHeader w:val="true"/>
        </w:trPr>
        <w:tc>
          <w:tcPr>
            <w:tcW w:type="dxa" w:w="1134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Criterion</w:t>
            </w:r>
          </w:p>
        </w:tc>
        <w:tc>
          <w:tcPr>
            <w:tcW w:type="dxa" w:w="3969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Measure</w:t>
            </w:r>
          </w:p>
        </w:tc>
        <w:tc>
          <w:tcPr>
            <w:tcW w:type="dxa" w:w="1361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Threshold</w:t>
            </w:r>
          </w:p>
        </w:tc>
        <w:tc>
          <w:tcPr>
            <w:tcW w:type="dxa" w:w="1587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German</w:t>
            </w:r>
          </w:p>
        </w:tc>
        <w:tc>
          <w:tcPr>
            <w:tcW w:type="dxa" w:w="1587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English</w:t>
            </w: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S-03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Router: requests with personal data kept back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99.5 %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S-03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Router: requests with structured identifiers kept back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99.9 %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Structured identifiers removed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99 %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Person names removed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98 %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  <w:tr>
        <w:trPr>
          <w:cantSplit w:val="true"/>
        </w:trPr>
        <w:tc>
          <w:tcPr>
            <w:tcW w:type="dxa" w:w="1134"/>
          </w:tcPr>
          <w:p>
            <w:pPr>
              <w:spacing w:after="0"/>
            </w:pPr>
            <w:r>
              <w:rPr>
                <w:b/>
                <w:i w:val="0"/>
              </w:rPr>
              <w:t>B-03</w:t>
            </w:r>
          </w:p>
        </w:tc>
        <w:tc>
          <w:tcPr>
            <w:tcW w:type="dxa" w:w="3969"/>
          </w:tcPr>
          <w:p>
            <w:pPr>
              <w:spacing w:after="0"/>
            </w:pPr>
            <w:r>
              <w:rPr>
                <w:b w:val="0"/>
                <w:i w:val="0"/>
              </w:rPr>
              <w:t>All canary values removed</w:t>
            </w:r>
          </w:p>
        </w:tc>
        <w:tc>
          <w:tcPr>
            <w:tcW w:type="dxa" w:w="1361"/>
          </w:tcPr>
          <w:p>
            <w:pPr>
              <w:spacing w:after="0"/>
            </w:pPr>
            <w:r>
              <w:rPr>
                <w:b w:val="0"/>
                <w:i w:val="0"/>
              </w:rPr>
              <w:t>≥ 95 %</w:t>
            </w:r>
          </w:p>
        </w:tc>
        <w:tc>
          <w:tcPr>
            <w:tcW w:type="dxa" w:w="1587"/>
          </w:tcPr>
          <w:p>
            <w:pPr>
              <w:spacing w:after="0"/>
            </w:pPr>
          </w:p>
        </w:tc>
        <w:tc>
          <w:tcPr>
            <w:tcW w:type="dxa" w:w="1587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NOCIP index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1360"/>
        <w:gridCol w:w="5443"/>
      </w:tblGrid>
      <w:tr>
        <w:trPr>
          <w:cantSplit w:val="true"/>
          <w:tblHeader w:val="true"/>
        </w:trPr>
        <w:tc>
          <w:tcPr>
            <w:tcW w:type="dxa" w:w="2835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Group</w:t>
            </w:r>
          </w:p>
        </w:tc>
        <w:tc>
          <w:tcPr>
            <w:tcW w:type="dxa" w:w="1361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Points</w:t>
            </w:r>
          </w:p>
        </w:tc>
        <w:tc>
          <w:tcPr>
            <w:tcW w:type="dxa" w:w="5443"/>
            <w:shd w:val="clear" w:color="auto" w:fill="EEF2F6"/>
          </w:tcPr>
          <w:p>
            <w:pPr>
              <w:spacing w:after="0"/>
            </w:pPr>
            <w:r>
              <w:rPr>
                <w:b/>
                <w:i w:val="0"/>
                <w:color w:val="586676"/>
                <w:sz w:val="16"/>
              </w:rPr>
              <w:t>Reason</w:t>
            </w: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I-1 Transparency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I-2 Customer control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I-3 Data minimisation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I-4 Integrity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  <w:tr>
        <w:trPr>
          <w:cantSplit w:val="true"/>
          <w:trHeight w:val="45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I-5 Verifiability</w:t>
            </w:r>
          </w:p>
        </w:tc>
        <w:tc>
          <w:tcPr>
            <w:tcW w:type="dxa" w:w="1361"/>
          </w:tcPr>
          <w:p>
            <w:pPr>
              <w:spacing w:after="0"/>
            </w:pPr>
          </w:p>
        </w:tc>
        <w:tc>
          <w:tcPr>
            <w:tcW w:type="dxa" w:w="5443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Findings and recommendations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9639"/>
      </w:tblGrid>
      <w:tr>
        <w:trPr>
          <w:cantSplit w:val="true"/>
          <w:trHeight w:val="2835"/>
        </w:trPr>
        <w:tc>
          <w:tcPr>
            <w:tcW w:type="dxa" w:w="9638"/>
          </w:tcPr>
          <w:p>
            <w:pPr>
              <w:spacing w:after="0"/>
            </w:pPr>
          </w:p>
        </w:tc>
      </w:tr>
    </w:tbl>
    <w:p>
      <w:pPr>
        <w:pStyle w:val="Heading1"/>
      </w:pPr>
      <w:r>
        <w:t>Sign-off</w:t>
      </w:r>
    </w:p>
    <w:p>
      <w:r>
        <w:rPr>
          <w:b w:val="0"/>
          <w:i/>
          <w:color w:val="586676"/>
        </w:rPr>
        <w:t>be next GmbH itself offers pseudonymisation software (LexITanon). The audit followed the published audit checklist in full.</w:t>
      </w:r>
    </w:p>
    <w:tbl>
      <w:tblPr>
        <w:tblW w:type="dxa" w:w="9639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single" w:sz="4" w:color="D5DCE3"/>
          <w:left w:val="single" w:sz="4" w:color="D5DCE3"/>
          <w:bottom w:val="single" w:sz="4" w:color="D5DCE3"/>
          <w:right w:val="single" w:sz="4" w:color="D5DCE3"/>
          <w:insideH w:val="single" w:sz="4" w:color="D5DCE3"/>
          <w:insideV w:val="single" w:sz="4" w:color="D5DCE3"/>
        </w:tblBorders>
        <w:tblCellMar>
          <w:top w:w="50" w:type="dxa"/>
          <w:bottom w:w="50" w:type="dxa"/>
          <w:left w:w="90" w:type="dxa"/>
          <w:right w:w="90" w:type="dxa"/>
        </w:tblCellMar>
      </w:tblPr>
      <w:tblGrid>
        <w:gridCol w:w="2835"/>
        <w:gridCol w:w="6804"/>
      </w:tblGrid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Place, date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Auditor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  <w:tr>
        <w:trPr>
          <w:cantSplit w:val="true"/>
          <w:trHeight w:val="624"/>
        </w:trPr>
        <w:tc>
          <w:tcPr>
            <w:tcW w:type="dxa" w:w="2835"/>
          </w:tcPr>
          <w:p>
            <w:pPr>
              <w:spacing w:after="0"/>
            </w:pPr>
            <w:r>
              <w:rPr>
                <w:b/>
                <w:i w:val="0"/>
              </w:rPr>
              <w:t>Signature</w:t>
            </w:r>
          </w:p>
        </w:tc>
        <w:tc>
          <w:tcPr>
            <w:tcW w:type="dxa" w:w="6803"/>
          </w:tcPr>
          <w:p>
            <w:pPr>
              <w:spacing w:after="0"/>
            </w:pP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247" w:right="1134" w:bottom="1134" w:left="1134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</w:pPr>
    <w:r>
      <w:rPr>
        <w:b w:val="0"/>
        <w:i w:val="0"/>
        <w:color w:val="586676"/>
        <w:sz w:val="16"/>
      </w:rPr>
      <w:t>nocip.com</w:t>
    </w:r>
    <w:r>
      <w:rPr>
        <w:b w:val="0"/>
        <w:i w:val="0"/>
        <w:color w:val="586676"/>
        <w:sz w:val="16"/>
      </w:rPr>
      <w:tab/>
      <w:t xml:space="preserve">Page </w:t>
    </w:r>
    <w:r>
      <w:rPr>
        <w:color w:val="586676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86676"/>
        <w:sz w:val="16"/>
      </w:rPr>
      <w:t xml:space="preserve"> of </w:t>
    </w:r>
    <w:r>
      <w:rPr>
        <w:color w:val="586676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638" w:val="right"/>
      </w:tabs>
    </w:pPr>
    <w:r>
      <w:rPr>
        <w:b w:val="0"/>
        <w:i w:val="0"/>
        <w:color w:val="586676"/>
        <w:sz w:val="16"/>
      </w:rPr>
      <w:t>NOCIP · Audit Report (Template)</w:t>
    </w:r>
    <w:r>
      <w:rPr>
        <w:b w:val="0"/>
        <w:i w:val="0"/>
        <w:color w:val="586676"/>
        <w:sz w:val="16"/>
      </w:rPr>
      <w:tab/>
      <w:t>Version 1.0 · Draft · 2026-10-29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88" w:lineRule="auto"/>
    </w:pPr>
    <w:rPr>
      <w:rFonts w:ascii="Public Sans" w:hAnsi="Public Sans" w:cs="Public Sans" w:eastAsia="Public Sans"/>
      <w:color w:val="142231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pos="4680" w:val="clear"/>
        <w:tab w:val="right" w:pos="9360"/>
        <w:tab w:pos="9360" w:val="clear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pos="4680" w:val="clear"/>
        <w:tab w:val="right" w:pos="9360"/>
        <w:tab w:pos="9360" w:val="clear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00"/>
      <w:outlineLvl w:val="0"/>
    </w:pPr>
    <w:rPr>
      <w:rFonts w:ascii="Archivo ExtraBold" w:hAnsi="Archivo ExtraBold" w:cs="Archivo ExtraBold" w:eastAsia="Archivo ExtraBold"/>
      <w:b w:val="0"/>
      <w:bCs/>
      <w:i w:val="0"/>
      <w:color w:val="1C3550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/>
      <w:outlineLvl w:val="1"/>
    </w:pPr>
    <w:rPr>
      <w:rFonts w:ascii="Archivo ExtraBold" w:hAnsi="Archivo ExtraBold" w:cs="Archivo ExtraBold" w:eastAsia="Archivo ExtraBold"/>
      <w:b w:val="0"/>
      <w:bCs/>
      <w:i w:val="0"/>
      <w:color w:val="1C355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="Archivo ExtraBold" w:hAnsi="Archivo ExtraBold" w:cs="Archivo ExtraBold" w:eastAsia="Archivo ExtraBold"/>
      <w:b w:val="0"/>
      <w:bCs/>
      <w:i w:val="0"/>
      <w:color w:val="1C3550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Archivo ExtraBold" w:hAnsi="Archivo ExtraBold" w:cs="Archivo ExtraBold" w:eastAsia="Archivo ExtraBold"/>
      <w:b w:val="0"/>
      <w:color w:val="142231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