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drawing>
          <wp:inline xmlns:a="http://schemas.openxmlformats.org/drawingml/2006/main" xmlns:pic="http://schemas.openxmlformats.org/drawingml/2006/picture">
            <wp:extent cx="1512000" cy="597240"/>
            <wp:docPr id="1" name="Picture 1"/>
            <wp:cNvGraphicFramePr>
              <a:graphicFrameLocks noChangeAspect="1"/>
            </wp:cNvGraphicFramePr>
            <a:graphic>
              <a:graphicData uri="http://schemas.openxmlformats.org/drawingml/2006/picture">
                <pic:pic>
                  <pic:nvPicPr>
                    <pic:cNvPr id="0" name="nocip-wordmark.png"/>
                    <pic:cNvPicPr/>
                  </pic:nvPicPr>
                  <pic:blipFill>
                    <a:blip r:embed="rId11"/>
                    <a:stretch>
                      <a:fillRect/>
                    </a:stretch>
                  </pic:blipFill>
                  <pic:spPr>
                    <a:xfrm>
                      <a:off x="0" y="0"/>
                      <a:ext cx="1512000" cy="597240"/>
                    </a:xfrm>
                    <a:prstGeom prst="rect"/>
                  </pic:spPr>
                </pic:pic>
              </a:graphicData>
            </a:graphic>
          </wp:inline>
        </w:drawing>
      </w:r>
    </w:p>
    <w:p>
      <w:pPr>
        <w:spacing w:after="560"/>
      </w:pPr>
      <w:r>
        <w:rPr>
          <w:b w:val="0"/>
          <w:i w:val="0"/>
          <w:color w:val="586676"/>
          <w:sz w:val="18"/>
        </w:rPr>
        <w:t>No Cloud Inference on Personal data</w:t>
      </w:r>
    </w:p>
    <w:p>
      <w:pPr>
        <w:pStyle w:val="Title"/>
        <w:spacing w:after="120"/>
      </w:pPr>
      <w:r>
        <w:rPr>
          <w:b w:val="0"/>
          <w:i w:val="0"/>
        </w:rPr>
        <w:t>Applicant Guide</w:t>
      </w:r>
    </w:p>
    <w:p>
      <w:pPr>
        <w:spacing w:after="120"/>
      </w:pPr>
      <w:r>
        <w:rPr>
          <w:b w:val="0"/>
          <w:i w:val="0"/>
          <w:color w:val="586676"/>
          <w:sz w:val="22"/>
        </w:rPr>
        <w:t>How to obtain the NOCIP label for your product</w:t>
      </w:r>
    </w:p>
    <w:p>
      <w:pPr>
        <w:spacing w:after="360"/>
      </w:pPr>
      <w:r>
        <w:rPr>
          <w:b w:val="0"/>
          <w:i w:val="0"/>
          <w:color w:val="586676"/>
          <w:sz w:val="18"/>
        </w:rPr>
        <w:t>Version 1.0 · 2026-10-29 · Draft – not yet approved</w:t>
      </w:r>
    </w:p>
    <w:tbl>
      <w:tblPr>
        <w:tblW w:type="auto" w:w="0"/>
        <w:tblLook w:firstColumn="1" w:firstRow="1" w:lastColumn="0" w:lastRow="0" w:noHBand="0" w:noVBand="1" w:val="04A0"/>
      </w:tblPr>
      <w:tblGrid>
        <w:gridCol w:w="3213"/>
        <w:gridCol w:w="3213"/>
        <w:gridCol w:w="3213"/>
      </w:tblGrid>
      <w:tr>
        <w:tc>
          <w:tcPr>
            <w:tcW w:type="dxa" w:w="2268"/>
          </w:tcPr>
          <w:p>
            <w:r>
              <w:drawing>
                <wp:inline xmlns:a="http://schemas.openxmlformats.org/drawingml/2006/main" xmlns:pic="http://schemas.openxmlformats.org/drawingml/2006/picture">
                  <wp:extent cx="1188000" cy="1188000"/>
                  <wp:docPr id="2" name="Picture 2"/>
                  <wp:cNvGraphicFramePr>
                    <a:graphicFrameLocks noChangeAspect="1"/>
                  </wp:cNvGraphicFramePr>
                  <a:graphic>
                    <a:graphicData uri="http://schemas.openxmlformats.org/drawingml/2006/picture">
                      <pic:pic>
                        <pic:nvPicPr>
                          <pic:cNvPr id="0" name="nocip-gold.png"/>
                          <pic:cNvPicPr/>
                        </pic:nvPicPr>
                        <pic:blipFill>
                          <a:blip r:embed="rId12"/>
                          <a:stretch>
                            <a:fillRect/>
                          </a:stretch>
                        </pic:blipFill>
                        <pic:spPr>
                          <a:xfrm>
                            <a:off x="0" y="0"/>
                            <a:ext cx="1188000" cy="1188000"/>
                          </a:xfrm>
                          <a:prstGeom prst="rect"/>
                        </pic:spPr>
                      </pic:pic>
                    </a:graphicData>
                  </a:graphic>
                </wp:inline>
              </w:drawing>
            </w:r>
          </w:p>
        </w:tc>
        <w:tc>
          <w:tcPr>
            <w:tcW w:type="dxa" w:w="2268"/>
          </w:tcPr>
          <w:p>
            <w:r>
              <w:drawing>
                <wp:inline xmlns:a="http://schemas.openxmlformats.org/drawingml/2006/main" xmlns:pic="http://schemas.openxmlformats.org/drawingml/2006/picture">
                  <wp:extent cx="1188000" cy="1188000"/>
                  <wp:docPr id="3" name="Picture 3"/>
                  <wp:cNvGraphicFramePr>
                    <a:graphicFrameLocks noChangeAspect="1"/>
                  </wp:cNvGraphicFramePr>
                  <a:graphic>
                    <a:graphicData uri="http://schemas.openxmlformats.org/drawingml/2006/picture">
                      <pic:pic>
                        <pic:nvPicPr>
                          <pic:cNvPr id="0" name="nocip-silver.png"/>
                          <pic:cNvPicPr/>
                        </pic:nvPicPr>
                        <pic:blipFill>
                          <a:blip r:embed="rId13"/>
                          <a:stretch>
                            <a:fillRect/>
                          </a:stretch>
                        </pic:blipFill>
                        <pic:spPr>
                          <a:xfrm>
                            <a:off x="0" y="0"/>
                            <a:ext cx="1188000" cy="1188000"/>
                          </a:xfrm>
                          <a:prstGeom prst="rect"/>
                        </pic:spPr>
                      </pic:pic>
                    </a:graphicData>
                  </a:graphic>
                </wp:inline>
              </w:drawing>
            </w:r>
          </w:p>
        </w:tc>
        <w:tc>
          <w:tcPr>
            <w:tcW w:type="dxa" w:w="2268"/>
          </w:tcPr>
          <w:p>
            <w:r>
              <w:drawing>
                <wp:inline xmlns:a="http://schemas.openxmlformats.org/drawingml/2006/main" xmlns:pic="http://schemas.openxmlformats.org/drawingml/2006/picture">
                  <wp:extent cx="1188000" cy="1188000"/>
                  <wp:docPr id="4" name="Picture 4"/>
                  <wp:cNvGraphicFramePr>
                    <a:graphicFrameLocks noChangeAspect="1"/>
                  </wp:cNvGraphicFramePr>
                  <a:graphic>
                    <a:graphicData uri="http://schemas.openxmlformats.org/drawingml/2006/picture">
                      <pic:pic>
                        <pic:nvPicPr>
                          <pic:cNvPr id="0" name="nocip-bronze.png"/>
                          <pic:cNvPicPr/>
                        </pic:nvPicPr>
                        <pic:blipFill>
                          <a:blip r:embed="rId14"/>
                          <a:stretch>
                            <a:fillRect/>
                          </a:stretch>
                        </pic:blipFill>
                        <pic:spPr>
                          <a:xfrm>
                            <a:off x="0" y="0"/>
                            <a:ext cx="1188000" cy="1188000"/>
                          </a:xfrm>
                          <a:prstGeom prst="rect"/>
                        </pic:spPr>
                      </pic:pic>
                    </a:graphicData>
                  </a:graphic>
                </wp:inline>
              </w:drawing>
            </w:r>
          </w:p>
        </w:tc>
      </w:tr>
    </w:tbl>
    <w:p>
      <w:pPr>
        <w:spacing w:after="120"/>
      </w:pPr>
    </w:p>
    <w:p>
      <w:pPr>
        <w:pStyle w:val="Heading1"/>
      </w:pPr>
      <w:r>
        <w:t>1  What NOCIP is about</w:t>
      </w:r>
    </w:p>
    <w:p>
      <w:r>
        <w:rPr>
          <w:b w:val="0"/>
          <w:i w:val="0"/>
        </w:rPr>
        <w:t>Many programs now send texts, documents and questions to large cloud AI services. For law firms, medical practices, public authorities and companies, this means confidential and personal data leaves the building, often for third countries. For many tasks this is not necessary. Smaller models now run on ordinary computers and servers and handle recognition, classification and summarisation reliably.</w:t>
      </w:r>
    </w:p>
    <w:p>
      <w:r>
        <w:rPr>
          <w:b w:val="0"/>
          <w:i w:val="0"/>
        </w:rPr>
        <w:t>NOCIP stands for “No Cloud Inference on Personal data”. The NOCIP label shows buyers at a glance where a product's AI runs and where personal data goes. It is based on a technical audit, not on a self-declaration.</w:t>
      </w:r>
    </w:p>
    <w:p>
      <w:pPr>
        <w:pStyle w:val="Heading1"/>
      </w:pPr>
      <w:r>
        <w:t>2  The three tiers and the index</w:t>
      </w:r>
    </w:p>
    <w:p>
      <w:r>
        <w:rPr>
          <w:b w:val="0"/>
          <w:i w:val="0"/>
        </w:rPr>
        <w:t>The tier answers one question: who runs the AI that sees personal data?</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1360"/>
        <w:gridCol w:w="1927"/>
        <w:gridCol w:w="6350"/>
      </w:tblGrid>
      <w:tr>
        <w:trPr>
          <w:cantSplit w:val="true"/>
          <w:tblHeader w:val="true"/>
        </w:trPr>
        <w:tc>
          <w:tcPr>
            <w:tcW w:type="dxa" w:w="1361"/>
            <w:shd w:val="clear" w:color="auto" w:fill="EEF2F6"/>
          </w:tcPr>
          <w:p>
            <w:pPr>
              <w:spacing w:after="0"/>
            </w:pPr>
            <w:r>
              <w:rPr>
                <w:b/>
                <w:i w:val="0"/>
                <w:color w:val="586676"/>
                <w:sz w:val="16"/>
              </w:rPr>
              <w:t>Tier</w:t>
            </w:r>
          </w:p>
        </w:tc>
        <w:tc>
          <w:tcPr>
            <w:tcW w:type="dxa" w:w="1928"/>
            <w:shd w:val="clear" w:color="auto" w:fill="EEF2F6"/>
          </w:tcPr>
          <w:p>
            <w:pPr>
              <w:spacing w:after="0"/>
            </w:pPr>
            <w:r>
              <w:rPr>
                <w:b/>
                <w:i w:val="0"/>
                <w:color w:val="586676"/>
                <w:sz w:val="16"/>
              </w:rPr>
              <w:t>Name</w:t>
            </w:r>
          </w:p>
        </w:tc>
        <w:tc>
          <w:tcPr>
            <w:tcW w:type="dxa" w:w="6350"/>
            <w:shd w:val="clear" w:color="auto" w:fill="EEF2F6"/>
          </w:tcPr>
          <w:p>
            <w:pPr>
              <w:spacing w:after="0"/>
            </w:pPr>
            <w:r>
              <w:rPr>
                <w:b/>
                <w:i w:val="0"/>
                <w:color w:val="586676"/>
                <w:sz w:val="16"/>
              </w:rPr>
              <w:t>Meaning</w:t>
            </w:r>
          </w:p>
        </w:tc>
      </w:tr>
      <w:tr>
        <w:trPr>
          <w:cantSplit w:val="true"/>
        </w:trPr>
        <w:tc>
          <w:tcPr>
            <w:tcW w:type="dxa" w:w="1361"/>
          </w:tcPr>
          <w:p>
            <w:pPr>
              <w:spacing w:after="0"/>
            </w:pPr>
            <w:r>
              <w:rPr>
                <w:b/>
                <w:i w:val="0"/>
                <w:color w:val="946A12"/>
              </w:rPr>
              <w:t>Gold</w:t>
            </w:r>
          </w:p>
        </w:tc>
        <w:tc>
          <w:tcPr>
            <w:tcW w:type="dxa" w:w="1928"/>
          </w:tcPr>
          <w:p>
            <w:pPr>
              <w:spacing w:after="0"/>
            </w:pPr>
            <w:r>
              <w:rPr>
                <w:b w:val="0"/>
                <w:i w:val="0"/>
              </w:rPr>
              <w:t>Local AI</w:t>
            </w:r>
          </w:p>
        </w:tc>
        <w:tc>
          <w:tcPr>
            <w:tcW w:type="dxa" w:w="6350"/>
          </w:tcPr>
          <w:p>
            <w:pPr>
              <w:spacing w:after="0"/>
            </w:pPr>
            <w:r>
              <w:rPr>
                <w:b w:val="0"/>
                <w:i w:val="0"/>
              </w:rPr>
              <w:t>The AI runs at the customer's site. Real content never leaves the customer.</w:t>
            </w:r>
          </w:p>
        </w:tc>
      </w:tr>
      <w:tr>
        <w:trPr>
          <w:cantSplit w:val="true"/>
        </w:trPr>
        <w:tc>
          <w:tcPr>
            <w:tcW w:type="dxa" w:w="1361"/>
          </w:tcPr>
          <w:p>
            <w:pPr>
              <w:spacing w:after="0"/>
            </w:pPr>
            <w:r>
              <w:rPr>
                <w:b/>
                <w:i w:val="0"/>
                <w:color w:val="5F6B78"/>
              </w:rPr>
              <w:t>Silver</w:t>
            </w:r>
          </w:p>
        </w:tc>
        <w:tc>
          <w:tcPr>
            <w:tcW w:type="dxa" w:w="1928"/>
          </w:tcPr>
          <w:p>
            <w:pPr>
              <w:spacing w:after="0"/>
            </w:pPr>
            <w:r>
              <w:rPr>
                <w:b w:val="0"/>
                <w:i w:val="0"/>
              </w:rPr>
              <w:t>Hybrid AI</w:t>
            </w:r>
          </w:p>
        </w:tc>
        <w:tc>
          <w:tcPr>
            <w:tcW w:type="dxa" w:w="6350"/>
          </w:tcPr>
          <w:p>
            <w:pPr>
              <w:spacing w:after="0"/>
            </w:pPr>
            <w:r>
              <w:rPr>
                <w:b w:val="0"/>
                <w:i w:val="0"/>
              </w:rPr>
              <w:t>Personal data is seen only by AI run by the customer or by the vendor itself.</w:t>
            </w:r>
          </w:p>
        </w:tc>
      </w:tr>
      <w:tr>
        <w:trPr>
          <w:cantSplit w:val="true"/>
        </w:trPr>
        <w:tc>
          <w:tcPr>
            <w:tcW w:type="dxa" w:w="1361"/>
          </w:tcPr>
          <w:p>
            <w:pPr>
              <w:spacing w:after="0"/>
            </w:pPr>
            <w:r>
              <w:rPr>
                <w:b/>
                <w:i w:val="0"/>
                <w:color w:val="8E4F1E"/>
              </w:rPr>
              <w:t>Bronze</w:t>
            </w:r>
          </w:p>
        </w:tc>
        <w:tc>
          <w:tcPr>
            <w:tcW w:type="dxa" w:w="1928"/>
          </w:tcPr>
          <w:p>
            <w:pPr>
              <w:spacing w:after="0"/>
            </w:pPr>
            <w:r>
              <w:rPr>
                <w:b w:val="0"/>
                <w:i w:val="0"/>
              </w:rPr>
              <w:t>Pseudonymised</w:t>
            </w:r>
          </w:p>
        </w:tc>
        <w:tc>
          <w:tcPr>
            <w:tcW w:type="dxa" w:w="6350"/>
          </w:tcPr>
          <w:p>
            <w:pPr>
              <w:spacing w:after="0"/>
            </w:pPr>
            <w:r>
              <w:rPr>
                <w:b w:val="0"/>
                <w:i w:val="0"/>
              </w:rPr>
              <w:t>A third-party AI receives personal data only in pseudonymised form.</w:t>
            </w:r>
          </w:p>
        </w:tc>
      </w:tr>
    </w:tbl>
    <w:p>
      <w:pPr>
        <w:spacing w:after="40"/>
      </w:pPr>
    </w:p>
    <w:p>
      <w:r>
        <w:rPr>
          <w:b w:val="0"/>
          <w:i w:val="0"/>
        </w:rPr>
        <w:t>Within the tier, the NOCIP index rates the implementation with 0 to 10 whole points: five groups of 0 to 2 points each. The index never changes the tier; it is shown next to it (e.g. “Silver · 8/10”).</w:t>
      </w:r>
    </w:p>
    <w:p>
      <w:pPr>
        <w:spacing w:after="60"/>
        <w:ind w:left="340" w:hanging="255"/>
      </w:pPr>
      <w:r>
        <w:rPr>
          <w:b w:val="0"/>
          <w:i w:val="0"/>
          <w:color w:val="1C3550"/>
        </w:rPr>
        <w:t xml:space="preserve">– </w:t>
      </w:r>
      <w:r>
        <w:rPr>
          <w:b/>
          <w:i w:val="0"/>
        </w:rPr>
        <w:t xml:space="preserve">I-1 </w:t>
      </w:r>
      <w:r>
        <w:rPr>
          <w:b w:val="0"/>
          <w:i w:val="0"/>
        </w:rPr>
        <w:t>Transparency</w:t>
      </w:r>
    </w:p>
    <w:p>
      <w:pPr>
        <w:spacing w:after="60"/>
        <w:ind w:left="340" w:hanging="255"/>
      </w:pPr>
      <w:r>
        <w:rPr>
          <w:b w:val="0"/>
          <w:i w:val="0"/>
          <w:color w:val="1C3550"/>
        </w:rPr>
        <w:t xml:space="preserve">– </w:t>
      </w:r>
      <w:r>
        <w:rPr>
          <w:b/>
          <w:i w:val="0"/>
        </w:rPr>
        <w:t xml:space="preserve">I-2 </w:t>
      </w:r>
      <w:r>
        <w:rPr>
          <w:b w:val="0"/>
          <w:i w:val="0"/>
        </w:rPr>
        <w:t>Customer control</w:t>
      </w:r>
    </w:p>
    <w:p>
      <w:pPr>
        <w:spacing w:after="60"/>
        <w:ind w:left="340" w:hanging="255"/>
      </w:pPr>
      <w:r>
        <w:rPr>
          <w:b w:val="0"/>
          <w:i w:val="0"/>
          <w:color w:val="1C3550"/>
        </w:rPr>
        <w:t xml:space="preserve">– </w:t>
      </w:r>
      <w:r>
        <w:rPr>
          <w:b/>
          <w:i w:val="0"/>
        </w:rPr>
        <w:t xml:space="preserve">I-3 </w:t>
      </w:r>
      <w:r>
        <w:rPr>
          <w:b w:val="0"/>
          <w:i w:val="0"/>
        </w:rPr>
        <w:t>Data minimisation</w:t>
      </w:r>
    </w:p>
    <w:p>
      <w:pPr>
        <w:spacing w:after="60"/>
        <w:ind w:left="340" w:hanging="255"/>
      </w:pPr>
      <w:r>
        <w:rPr>
          <w:b w:val="0"/>
          <w:i w:val="0"/>
          <w:color w:val="1C3550"/>
        </w:rPr>
        <w:t xml:space="preserve">– </w:t>
      </w:r>
      <w:r>
        <w:rPr>
          <w:b/>
          <w:i w:val="0"/>
        </w:rPr>
        <w:t xml:space="preserve">I-4 </w:t>
      </w:r>
      <w:r>
        <w:rPr>
          <w:b w:val="0"/>
          <w:i w:val="0"/>
        </w:rPr>
        <w:t>Integrity</w:t>
      </w:r>
    </w:p>
    <w:p>
      <w:pPr>
        <w:spacing w:after="60"/>
        <w:ind w:left="340" w:hanging="255"/>
      </w:pPr>
      <w:r>
        <w:rPr>
          <w:b w:val="0"/>
          <w:i w:val="0"/>
          <w:color w:val="1C3550"/>
        </w:rPr>
        <w:t xml:space="preserve">– </w:t>
      </w:r>
      <w:r>
        <w:rPr>
          <w:b/>
          <w:i w:val="0"/>
        </w:rPr>
        <w:t xml:space="preserve">I-5 </w:t>
      </w:r>
      <w:r>
        <w:rPr>
          <w:b w:val="0"/>
          <w:i w:val="0"/>
        </w:rPr>
        <w:t>Verifiability</w:t>
      </w:r>
    </w:p>
    <w:p>
      <w:pPr>
        <w:pStyle w:val="Heading1"/>
      </w:pPr>
      <w:r>
        <w:t>3  Which tier fits your product?</w:t>
      </w:r>
    </w:p>
    <w:p>
      <w:pPr>
        <w:spacing w:after="60"/>
        <w:ind w:left="340" w:hanging="255"/>
      </w:pPr>
      <w:r>
        <w:rPr>
          <w:b w:val="0"/>
          <w:i w:val="0"/>
          <w:color w:val="1C3550"/>
        </w:rPr>
        <w:t xml:space="preserve">– </w:t>
      </w:r>
      <w:r>
        <w:rPr>
          <w:b w:val="0"/>
          <w:i w:val="0"/>
        </w:rPr>
        <w:t>Does every AI function run on your customer's computer or server and work offline? → Gold.</w:t>
      </w:r>
    </w:p>
    <w:p>
      <w:pPr>
        <w:spacing w:after="60"/>
        <w:ind w:left="340" w:hanging="255"/>
      </w:pPr>
      <w:r>
        <w:rPr>
          <w:b w:val="0"/>
          <w:i w:val="0"/>
          <w:color w:val="1C3550"/>
        </w:rPr>
        <w:t xml:space="preserve">– </w:t>
      </w:r>
      <w:r>
        <w:rPr>
          <w:b w:val="0"/>
          <w:i w:val="0"/>
        </w:rPr>
        <w:t>Do you run the models yourself on your own or exclusively rented servers in the EEA (SaaS)? → Silver, variant S-a.</w:t>
      </w:r>
    </w:p>
    <w:p>
      <w:pPr>
        <w:spacing w:after="60"/>
        <w:ind w:left="340" w:hanging="255"/>
      </w:pPr>
      <w:r>
        <w:rPr>
          <w:b w:val="0"/>
          <w:i w:val="0"/>
          <w:color w:val="1C3550"/>
        </w:rPr>
        <w:t xml:space="preserve">– </w:t>
      </w:r>
      <w:r>
        <w:rPr>
          <w:b w:val="0"/>
          <w:i w:val="0"/>
        </w:rPr>
        <w:t>Do you use a third-party AI, but only for requests without personal data, with a router deciding? → Silver, variant S-b.</w:t>
      </w:r>
    </w:p>
    <w:p>
      <w:pPr>
        <w:spacing w:after="60"/>
        <w:ind w:left="340" w:hanging="255"/>
      </w:pPr>
      <w:r>
        <w:rPr>
          <w:b w:val="0"/>
          <w:i w:val="0"/>
          <w:color w:val="1C3550"/>
        </w:rPr>
        <w:t xml:space="preserve">– </w:t>
      </w:r>
      <w:r>
        <w:rPr>
          <w:b w:val="0"/>
          <w:i w:val="0"/>
        </w:rPr>
        <w:t>Do you send personal content to a third-party AI, but pseudonymise it first? → Bronze.</w:t>
      </w:r>
    </w:p>
    <w:p>
      <w:pPr>
        <w:spacing w:after="60"/>
        <w:ind w:left="340" w:hanging="255"/>
      </w:pPr>
      <w:r>
        <w:rPr>
          <w:b w:val="0"/>
          <w:i w:val="0"/>
          <w:color w:val="1C3550"/>
        </w:rPr>
        <w:t xml:space="preserve">– </w:t>
      </w:r>
      <w:r>
        <w:rPr>
          <w:b w:val="0"/>
          <w:i w:val="0"/>
        </w:rPr>
        <w:t>Do you send personal data unprotected to a third-party AI? → No NOCIP label. This guide shows which criteria you would need to meet for Bronze.</w:t>
      </w:r>
    </w:p>
    <w:p>
      <w:r>
        <w:rPr>
          <w:b w:val="0"/>
          <w:i w:val="0"/>
        </w:rPr>
        <w:t>You apply for the tier you expect. If your product does not fully meet it, it receives the highest tier whose criteria it meets.</w:t>
      </w:r>
    </w:p>
    <w:p>
      <w:pPr>
        <w:pStyle w:val="Heading1"/>
      </w:pPr>
      <w:r>
        <w:t>4  How it works</w:t>
      </w:r>
    </w:p>
    <w:p>
      <w:pPr>
        <w:spacing w:after="60"/>
        <w:ind w:left="340" w:hanging="255"/>
      </w:pPr>
      <w:r>
        <w:rPr>
          <w:b/>
          <w:i w:val="0"/>
          <w:color w:val="1C3550"/>
        </w:rPr>
        <w:t xml:space="preserve">1. </w:t>
      </w:r>
      <w:r>
        <w:rPr>
          <w:b/>
          <w:i w:val="0"/>
        </w:rPr>
        <w:t xml:space="preserve">Application: </w:t>
      </w:r>
      <w:r>
        <w:rPr>
          <w:b w:val="0"/>
          <w:i w:val="0"/>
        </w:rPr>
        <w:t>Online at nocip.com. You name the product and the tier you expect.</w:t>
      </w:r>
    </w:p>
    <w:p>
      <w:pPr>
        <w:spacing w:after="60"/>
        <w:ind w:left="340" w:hanging="255"/>
      </w:pPr>
      <w:r>
        <w:rPr>
          <w:b/>
          <w:i w:val="0"/>
          <w:color w:val="1C3550"/>
        </w:rPr>
        <w:t xml:space="preserve">2. </w:t>
      </w:r>
      <w:r>
        <w:rPr>
          <w:b/>
          <w:i w:val="0"/>
        </w:rPr>
        <w:t xml:space="preserve">Self-assessment: </w:t>
      </w:r>
      <w:r>
        <w:rPr>
          <w:b w:val="0"/>
          <w:i w:val="0"/>
        </w:rPr>
        <w:t>One answer per criterion, with architecture description and test access.</w:t>
      </w:r>
    </w:p>
    <w:p>
      <w:pPr>
        <w:spacing w:after="60"/>
        <w:ind w:left="340" w:hanging="255"/>
      </w:pPr>
      <w:r>
        <w:rPr>
          <w:b/>
          <w:i w:val="0"/>
          <w:color w:val="1C3550"/>
        </w:rPr>
        <w:t xml:space="preserve">3. </w:t>
      </w:r>
      <w:r>
        <w:rPr>
          <w:b/>
          <w:i w:val="0"/>
        </w:rPr>
        <w:t xml:space="preserve">Audit: </w:t>
      </w:r>
      <w:r>
        <w:rPr>
          <w:b w:val="0"/>
          <w:i w:val="0"/>
        </w:rPr>
        <w:t>be next audits against the published audit checklist: network capture, test corpus, fault tests, documents.</w:t>
      </w:r>
    </w:p>
    <w:p>
      <w:pPr>
        <w:spacing w:after="60"/>
        <w:ind w:left="340" w:hanging="255"/>
      </w:pPr>
      <w:r>
        <w:rPr>
          <w:b/>
          <w:i w:val="0"/>
          <w:color w:val="1C3550"/>
        </w:rPr>
        <w:t xml:space="preserve">4. </w:t>
      </w:r>
      <w:r>
        <w:rPr>
          <w:b/>
          <w:i w:val="0"/>
        </w:rPr>
        <w:t xml:space="preserve">Audit report: </w:t>
      </w:r>
      <w:r>
        <w:rPr>
          <w:b w:val="0"/>
          <w:i w:val="0"/>
        </w:rPr>
        <w:t>Result per criterion, tier and index. You can fix criteria that were not met.</w:t>
      </w:r>
    </w:p>
    <w:p>
      <w:pPr>
        <w:spacing w:after="60"/>
        <w:ind w:left="340" w:hanging="255"/>
      </w:pPr>
      <w:r>
        <w:rPr>
          <w:b/>
          <w:i w:val="0"/>
          <w:color w:val="1C3550"/>
        </w:rPr>
        <w:t xml:space="preserve">5. </w:t>
      </w:r>
      <w:r>
        <w:rPr>
          <w:b/>
          <w:i w:val="0"/>
        </w:rPr>
        <w:t xml:space="preserve">Label and register: </w:t>
      </w:r>
      <w:r>
        <w:rPr>
          <w:b w:val="0"/>
          <w:i w:val="0"/>
        </w:rPr>
        <w:t>Label agreement, ID, register entry, logo kit and badge.</w:t>
      </w:r>
    </w:p>
    <w:p>
      <w:pPr>
        <w:spacing w:after="60"/>
        <w:ind w:left="340" w:hanging="255"/>
      </w:pPr>
      <w:r>
        <w:rPr>
          <w:b/>
          <w:i w:val="0"/>
          <w:color w:val="1C3550"/>
        </w:rPr>
        <w:t xml:space="preserve">6. </w:t>
      </w:r>
      <w:r>
        <w:rPr>
          <w:b/>
          <w:i w:val="0"/>
        </w:rPr>
        <w:t xml:space="preserve">Renewal: </w:t>
      </w:r>
      <w:r>
        <w:rPr>
          <w:b w:val="0"/>
          <w:i w:val="0"/>
        </w:rPr>
        <w:t>Annual re-audit; spot checks while the label is valid.</w:t>
      </w:r>
    </w:p>
    <w:p>
      <w:r>
        <w:rPr>
          <w:b w:val="0"/>
          <w:i w:val="0"/>
        </w:rPr>
        <w:t>From a complete self-assessment to the audit report usually takes four weeks.</w:t>
      </w:r>
    </w:p>
    <w:p>
      <w:pPr>
        <w:pStyle w:val="Heading1"/>
      </w:pPr>
      <w:r>
        <w:t>5  What to prepare</w:t>
      </w:r>
    </w:p>
    <w:p>
      <w:pPr>
        <w:spacing w:after="60"/>
        <w:ind w:left="340" w:hanging="255"/>
      </w:pPr>
      <w:r>
        <w:rPr>
          <w:b w:val="0"/>
          <w:i w:val="0"/>
          <w:color w:val="1C3550"/>
        </w:rPr>
        <w:t xml:space="preserve">– </w:t>
      </w:r>
      <w:r>
        <w:rPr>
          <w:b w:val="0"/>
          <w:i w:val="0"/>
        </w:rPr>
        <w:t>The completed self-assessment, including the model inventory and the connection list.</w:t>
      </w:r>
    </w:p>
    <w:p>
      <w:pPr>
        <w:spacing w:after="60"/>
        <w:ind w:left="340" w:hanging="255"/>
      </w:pPr>
      <w:r>
        <w:rPr>
          <w:b w:val="0"/>
          <w:i w:val="0"/>
          <w:color w:val="1C3550"/>
        </w:rPr>
        <w:t xml:space="preserve">– </w:t>
      </w:r>
      <w:r>
        <w:rPr>
          <w:b w:val="0"/>
          <w:i w:val="0"/>
        </w:rPr>
        <w:t>An architecture description: which AI functions exist and where each one is processed (a data-flow diagram is enough).</w:t>
      </w:r>
    </w:p>
    <w:p>
      <w:pPr>
        <w:spacing w:after="60"/>
        <w:ind w:left="340" w:hanging="255"/>
      </w:pPr>
      <w:r>
        <w:rPr>
          <w:b w:val="0"/>
          <w:i w:val="0"/>
          <w:color w:val="1C3550"/>
        </w:rPr>
        <w:t xml:space="preserve">– </w:t>
      </w:r>
      <w:r>
        <w:rPr>
          <w:b w:val="0"/>
          <w:i w:val="0"/>
        </w:rPr>
        <w:t>A test installation or test access with all AI functions, for at least six weeks.</w:t>
      </w:r>
    </w:p>
    <w:p>
      <w:pPr>
        <w:spacing w:after="60"/>
        <w:ind w:left="340" w:hanging="255"/>
      </w:pPr>
      <w:r>
        <w:rPr>
          <w:b w:val="0"/>
          <w:i w:val="0"/>
          <w:color w:val="1C3550"/>
        </w:rPr>
        <w:t xml:space="preserve">– </w:t>
      </w:r>
      <w:r>
        <w:rPr>
          <w:b w:val="0"/>
          <w:i w:val="0"/>
        </w:rPr>
        <w:t>For SaaS: data processing agreement, list of sub-processors, hosting contracts.</w:t>
      </w:r>
    </w:p>
    <w:p>
      <w:pPr>
        <w:spacing w:after="60"/>
        <w:ind w:left="340" w:hanging="255"/>
      </w:pPr>
      <w:r>
        <w:rPr>
          <w:b w:val="0"/>
          <w:i w:val="0"/>
          <w:color w:val="1C3550"/>
        </w:rPr>
        <w:t xml:space="preserve">– </w:t>
      </w:r>
      <w:r>
        <w:rPr>
          <w:b w:val="0"/>
          <w:i w:val="0"/>
        </w:rPr>
        <w:t>For Bronze and Silver S-b: the third-party AI's contract or terms and the selected region.</w:t>
      </w:r>
    </w:p>
    <w:p>
      <w:pPr>
        <w:spacing w:after="60"/>
        <w:ind w:left="340" w:hanging="255"/>
      </w:pPr>
      <w:r>
        <w:rPr>
          <w:b w:val="0"/>
          <w:i w:val="0"/>
          <w:color w:val="1C3550"/>
        </w:rPr>
        <w:t xml:space="preserve">– </w:t>
      </w:r>
      <w:r>
        <w:rPr>
          <w:b w:val="0"/>
          <w:i w:val="0"/>
        </w:rPr>
        <w:t>If your product uses certificate pinning: a test build without pinning, or a log of the outgoing data.</w:t>
      </w:r>
    </w:p>
    <w:p>
      <w:pPr>
        <w:pStyle w:val="Heading1"/>
      </w:pPr>
      <w:r>
        <w:t>6  Fees and auditor</w:t>
      </w:r>
    </w:p>
    <w:p>
      <w:r>
        <w:rPr>
          <w:b w:val="0"/>
          <w:i w:val="0"/>
        </w:rPr>
        <w:t>The audit and the label are free of charge. If a criterion is not met, you can fix it; the first retest is also free of charge.</w:t>
      </w:r>
    </w:p>
    <w:p>
      <w:r>
        <w:rPr>
          <w:b w:val="0"/>
          <w:i w:val="0"/>
        </w:rPr>
        <w:t>Audits are carried out by be next GmbH (Stuttgart). be next itself offers pseudonymisation software, LexITanon. That is why the audit checklist is public, every audit follows it, and be next publishes the full audit report of its own products. be next treats your documents and test results as confidential.</w:t>
      </w:r>
    </w:p>
    <w:p>
      <w:pPr>
        <w:pStyle w:val="Heading1"/>
      </w:pPr>
      <w:r>
        <w:t>7  After the audit</w:t>
      </w:r>
    </w:p>
    <w:p>
      <w:pPr>
        <w:spacing w:after="60"/>
        <w:ind w:left="340" w:hanging="255"/>
      </w:pPr>
      <w:r>
        <w:rPr>
          <w:b w:val="0"/>
          <w:i w:val="0"/>
          <w:color w:val="1C3550"/>
        </w:rPr>
        <w:t xml:space="preserve">– </w:t>
      </w:r>
      <w:r>
        <w:rPr>
          <w:b w:val="0"/>
          <w:i w:val="0"/>
        </w:rPr>
        <w:t>You receive the audit report with the result for each criterion, the tier and the index.</w:t>
      </w:r>
    </w:p>
    <w:p>
      <w:pPr>
        <w:spacing w:after="60"/>
        <w:ind w:left="340" w:hanging="255"/>
      </w:pPr>
      <w:r>
        <w:rPr>
          <w:b w:val="0"/>
          <w:i w:val="0"/>
          <w:color w:val="1C3550"/>
        </w:rPr>
        <w:t xml:space="preserve">– </w:t>
      </w:r>
      <w:r>
        <w:rPr>
          <w:b w:val="0"/>
          <w:i w:val="0"/>
        </w:rPr>
        <w:t>With the label agreement you receive the ID (e.g. NOCIP-S-2026-0003), the logo kit and the badge for your website. The badge always shows the current status from the register.</w:t>
      </w:r>
    </w:p>
    <w:p>
      <w:pPr>
        <w:spacing w:after="60"/>
        <w:ind w:left="340" w:hanging="255"/>
      </w:pPr>
      <w:r>
        <w:rPr>
          <w:b w:val="0"/>
          <w:i w:val="0"/>
          <w:color w:val="1C3550"/>
        </w:rPr>
        <w:t xml:space="preserve">– </w:t>
      </w:r>
      <w:r>
        <w:rPr>
          <w:b w:val="0"/>
          <w:i w:val="0"/>
        </w:rPr>
        <w:t>The label is valid for 12 months. You report changes to the AI architecture within 30 days, and changes that lower the tier before they go live.</w:t>
      </w:r>
    </w:p>
    <w:p>
      <w:pPr>
        <w:spacing w:after="60"/>
        <w:ind w:left="340" w:hanging="255"/>
      </w:pPr>
      <w:r>
        <w:rPr>
          <w:b w:val="0"/>
          <w:i w:val="0"/>
          <w:color w:val="1C3550"/>
        </w:rPr>
        <w:t xml:space="preserve">– </w:t>
      </w:r>
      <w:r>
        <w:rPr>
          <w:b w:val="0"/>
          <w:i w:val="0"/>
        </w:rPr>
        <w:t>NOCIP may carry out spot checks while the label is valid.</w:t>
      </w:r>
    </w:p>
    <w:p>
      <w:pPr>
        <w:pStyle w:val="Heading1"/>
      </w:pPr>
      <w:r>
        <w:t>8  Frequently asked questions</w:t>
      </w:r>
    </w:p>
    <w:p>
      <w:pPr>
        <w:spacing w:after="40"/>
      </w:pPr>
      <w:r>
        <w:rPr>
          <w:b/>
          <w:i w:val="0"/>
        </w:rPr>
        <w:t>We use a cloud provider's models in our own account in Frankfurt. Is that Silver?</w:t>
      </w:r>
    </w:p>
    <w:p>
      <w:r>
        <w:rPr>
          <w:b w:val="0"/>
          <w:i w:val="0"/>
        </w:rPr>
        <w:t>No. A cloud provider's model services count as third-party AI, even when hosted in the EU, because the cloud provider runs the model. Silver S-a requires that you run the models yourself. With pseudonymisation in front, Bronze is possible.</w:t>
      </w:r>
    </w:p>
    <w:p>
      <w:pPr>
        <w:spacing w:after="40"/>
      </w:pPr>
      <w:r>
        <w:rPr>
          <w:b/>
          <w:i w:val="0"/>
        </w:rPr>
        <w:t>Our product has AI functions at different tiers. Which one applies?</w:t>
      </w:r>
    </w:p>
    <w:p>
      <w:r>
        <w:rPr>
          <w:b w:val="0"/>
          <w:i w:val="0"/>
        </w:rPr>
        <w:t>The lowest. The label describes the product as customers use it. If a function can be switched off, you can have a product variant without it audited.</w:t>
      </w:r>
    </w:p>
    <w:p>
      <w:pPr>
        <w:spacing w:after="40"/>
      </w:pPr>
      <w:r>
        <w:rPr>
          <w:b/>
          <w:i w:val="0"/>
        </w:rPr>
        <w:t>Isn't pseudonymised data still personal data?</w:t>
      </w:r>
    </w:p>
    <w:p>
      <w:r>
        <w:rPr>
          <w:b w:val="0"/>
          <w:i w:val="0"/>
        </w:rPr>
        <w:t>For you as the sender, yes (GDPR Art. 4(5)). For a recipient without access to the mapping table, CJEU case law says they may not be. Bronze therefore requires that the mapping table is never transferred, and forbids calling such data “anonymous”.</w:t>
      </w:r>
    </w:p>
    <w:p>
      <w:pPr>
        <w:spacing w:after="40"/>
      </w:pPr>
      <w:r>
        <w:rPr>
          <w:b/>
          <w:i w:val="0"/>
        </w:rPr>
        <w:t>Our product lets users send us examples of errors. Is that compatible with Gold?</w:t>
      </w:r>
    </w:p>
    <w:p>
      <w:r>
        <w:rPr>
          <w:b w:val="0"/>
          <w:i w:val="0"/>
        </w:rPr>
        <w:t>Yes, if the user triggers each report, the product first replaces personal data with invented data, a preview shows exactly what is sent, and you use the reports only to improve the product (criterion C-08).</w:t>
      </w:r>
    </w:p>
    <w:p>
      <w:pPr>
        <w:spacing w:after="40"/>
      </w:pPr>
      <w:r>
        <w:rPr>
          <w:b/>
          <w:i w:val="0"/>
        </w:rPr>
        <w:t>Do we get the test corpus in advance?</w:t>
      </w:r>
    </w:p>
    <w:p>
      <w:r>
        <w:rPr>
          <w:b w:val="0"/>
          <w:i w:val="0"/>
        </w:rPr>
        <w:t>No. It is not published, so that results stay comparable. The categories and thresholds are in the criteria catalogue.</w:t>
      </w:r>
    </w:p>
    <w:p>
      <w:pPr>
        <w:spacing w:after="40"/>
      </w:pPr>
      <w:r>
        <w:rPr>
          <w:b/>
          <w:i w:val="0"/>
        </w:rPr>
        <w:t>May we advertise with the label while the audit is running?</w:t>
      </w:r>
    </w:p>
    <w:p>
      <w:r>
        <w:rPr>
          <w:b w:val="0"/>
          <w:i w:val="0"/>
        </w:rPr>
        <w:t>No. You may show the label only after the label agreement has been concluded.</w:t>
      </w:r>
    </w:p>
    <w:p>
      <w:pPr>
        <w:pStyle w:val="Heading1"/>
      </w:pPr>
      <w:r>
        <w:t>9  Contact</w:t>
      </w:r>
    </w:p>
    <w:p>
      <w:r>
        <w:rPr>
          <w:b w:val="0"/>
          <w:i w:val="0"/>
        </w:rPr>
        <w:t>Application and questions: the contact form at nocip.com/en/contact/ (topic “Application for an audit”).</w:t>
      </w:r>
    </w:p>
    <w:p>
      <w:pPr>
        <w:pStyle w:val="Heading1"/>
      </w:pPr>
      <w:r>
        <w:t>Appendix: Criteria at a glance</w:t>
      </w:r>
    </w:p>
    <w:tbl>
      <w:tblPr>
        <w:tblW w:type="dxa" w:w="9639"/>
        <w:jc w:val="left"/>
        <w:tblLayout w:type="fixed"/>
        <w:tblLook w:firstColumn="1" w:firstRow="1" w:lastColumn="0" w:lastRow="0" w:noHBand="0" w:noVBand="1" w:val="04A0"/>
        <w:tblLayout w:type="fixed"/>
        <w:tblBorders>
          <w:top w:val="single" w:sz="4" w:color="D5DCE3"/>
          <w:left w:val="single" w:sz="4" w:color="D5DCE3"/>
          <w:bottom w:val="single" w:sz="4" w:color="D5DCE3"/>
          <w:right w:val="single" w:sz="4" w:color="D5DCE3"/>
          <w:insideH w:val="single" w:sz="4" w:color="D5DCE3"/>
          <w:insideV w:val="single" w:sz="4" w:color="D5DCE3"/>
        </w:tblBorders>
        <w:tblCellMar>
          <w:top w:w="50" w:type="dxa"/>
          <w:bottom w:w="50" w:type="dxa"/>
          <w:left w:w="90" w:type="dxa"/>
          <w:right w:w="90" w:type="dxa"/>
        </w:tblCellMar>
      </w:tblPr>
      <w:tblGrid>
        <w:gridCol w:w="850"/>
        <w:gridCol w:w="2721"/>
        <w:gridCol w:w="1587"/>
        <w:gridCol w:w="4479"/>
      </w:tblGrid>
      <w:tr>
        <w:trPr>
          <w:cantSplit w:val="true"/>
          <w:tblHeader w:val="true"/>
        </w:trPr>
        <w:tc>
          <w:tcPr>
            <w:tcW w:type="dxa" w:w="850"/>
            <w:shd w:val="clear" w:color="auto" w:fill="EEF2F6"/>
          </w:tcPr>
          <w:p>
            <w:pPr>
              <w:spacing w:after="0"/>
            </w:pPr>
            <w:r>
              <w:rPr>
                <w:b/>
                <w:i w:val="0"/>
                <w:color w:val="586676"/>
                <w:sz w:val="16"/>
              </w:rPr>
              <w:t>ID</w:t>
            </w:r>
          </w:p>
        </w:tc>
        <w:tc>
          <w:tcPr>
            <w:tcW w:type="dxa" w:w="2721"/>
            <w:shd w:val="clear" w:color="auto" w:fill="EEF2F6"/>
          </w:tcPr>
          <w:p>
            <w:pPr>
              <w:spacing w:after="0"/>
            </w:pPr>
            <w:r>
              <w:rPr>
                <w:b/>
                <w:i w:val="0"/>
                <w:color w:val="586676"/>
                <w:sz w:val="16"/>
              </w:rPr>
              <w:t>Criterion</w:t>
            </w:r>
          </w:p>
        </w:tc>
        <w:tc>
          <w:tcPr>
            <w:tcW w:type="dxa" w:w="1587"/>
            <w:shd w:val="clear" w:color="auto" w:fill="EEF2F6"/>
          </w:tcPr>
          <w:p>
            <w:pPr>
              <w:spacing w:after="0"/>
            </w:pPr>
            <w:r>
              <w:rPr>
                <w:b/>
                <w:i w:val="0"/>
                <w:color w:val="586676"/>
                <w:sz w:val="16"/>
              </w:rPr>
              <w:t>Tier</w:t>
            </w:r>
          </w:p>
        </w:tc>
        <w:tc>
          <w:tcPr>
            <w:tcW w:type="dxa" w:w="4479"/>
            <w:shd w:val="clear" w:color="auto" w:fill="EEF2F6"/>
          </w:tcPr>
          <w:p>
            <w:pPr>
              <w:spacing w:after="0"/>
            </w:pPr>
            <w:r>
              <w:rPr>
                <w:b/>
                <w:i w:val="0"/>
                <w:color w:val="586676"/>
                <w:sz w:val="16"/>
              </w:rPr>
              <w:t>Threshold</w:t>
            </w:r>
          </w:p>
        </w:tc>
      </w:tr>
      <w:tr>
        <w:trPr>
          <w:cantSplit w:val="true"/>
        </w:trPr>
        <w:tc>
          <w:tcPr>
            <w:tcW w:type="dxa" w:w="850"/>
          </w:tcPr>
          <w:p>
            <w:pPr>
              <w:spacing w:after="0"/>
            </w:pPr>
            <w:r>
              <w:rPr>
                <w:b/>
                <w:i w:val="0"/>
                <w:color w:val="1C3550"/>
              </w:rPr>
              <w:t>C-01</w:t>
            </w:r>
          </w:p>
        </w:tc>
        <w:tc>
          <w:tcPr>
            <w:tcW w:type="dxa" w:w="2721"/>
          </w:tcPr>
          <w:p>
            <w:pPr>
              <w:spacing w:after="0"/>
            </w:pPr>
            <w:r>
              <w:rPr>
                <w:b w:val="0"/>
                <w:i w:val="0"/>
              </w:rPr>
              <w:t>Disclosure</w:t>
            </w:r>
          </w:p>
        </w:tc>
        <w:tc>
          <w:tcPr>
            <w:tcW w:type="dxa" w:w="1587"/>
          </w:tcPr>
          <w:p>
            <w:pPr>
              <w:spacing w:after="0"/>
            </w:pPr>
            <w:r>
              <w:rPr>
                <w:b w:val="0"/>
                <w:i w:val="0"/>
              </w:rPr>
              <w:t>All tiers</w:t>
            </w:r>
          </w:p>
        </w:tc>
        <w:tc>
          <w:tcPr>
            <w:tcW w:type="dxa" w:w="4479"/>
          </w:tcPr>
          <w:p>
            <w:pPr>
              <w:spacing w:after="0"/>
            </w:pPr>
          </w:p>
        </w:tc>
      </w:tr>
      <w:tr>
        <w:trPr>
          <w:cantSplit w:val="true"/>
        </w:trPr>
        <w:tc>
          <w:tcPr>
            <w:tcW w:type="dxa" w:w="850"/>
          </w:tcPr>
          <w:p>
            <w:pPr>
              <w:spacing w:after="0"/>
            </w:pPr>
            <w:r>
              <w:rPr>
                <w:b/>
                <w:i w:val="0"/>
                <w:color w:val="1C3550"/>
              </w:rPr>
              <w:t>C-02</w:t>
            </w:r>
          </w:p>
        </w:tc>
        <w:tc>
          <w:tcPr>
            <w:tcW w:type="dxa" w:w="2721"/>
          </w:tcPr>
          <w:p>
            <w:pPr>
              <w:spacing w:after="0"/>
            </w:pPr>
            <w:r>
              <w:rPr>
                <w:b w:val="0"/>
                <w:i w:val="0"/>
              </w:rPr>
              <w:t>Model inventory</w:t>
            </w:r>
          </w:p>
        </w:tc>
        <w:tc>
          <w:tcPr>
            <w:tcW w:type="dxa" w:w="1587"/>
          </w:tcPr>
          <w:p>
            <w:pPr>
              <w:spacing w:after="0"/>
            </w:pPr>
            <w:r>
              <w:rPr>
                <w:b w:val="0"/>
                <w:i w:val="0"/>
              </w:rPr>
              <w:t>All tiers</w:t>
            </w:r>
          </w:p>
        </w:tc>
        <w:tc>
          <w:tcPr>
            <w:tcW w:type="dxa" w:w="4479"/>
          </w:tcPr>
          <w:p>
            <w:pPr>
              <w:spacing w:after="0"/>
            </w:pPr>
          </w:p>
        </w:tc>
      </w:tr>
      <w:tr>
        <w:trPr>
          <w:cantSplit w:val="true"/>
        </w:trPr>
        <w:tc>
          <w:tcPr>
            <w:tcW w:type="dxa" w:w="850"/>
          </w:tcPr>
          <w:p>
            <w:pPr>
              <w:spacing w:after="0"/>
            </w:pPr>
            <w:r>
              <w:rPr>
                <w:b/>
                <w:i w:val="0"/>
                <w:color w:val="1C3550"/>
              </w:rPr>
              <w:t>C-03</w:t>
            </w:r>
          </w:p>
        </w:tc>
        <w:tc>
          <w:tcPr>
            <w:tcW w:type="dxa" w:w="2721"/>
          </w:tcPr>
          <w:p>
            <w:pPr>
              <w:spacing w:after="0"/>
            </w:pPr>
            <w:r>
              <w:rPr>
                <w:b w:val="0"/>
                <w:i w:val="0"/>
              </w:rPr>
              <w:t>No training on customer data</w:t>
            </w:r>
          </w:p>
        </w:tc>
        <w:tc>
          <w:tcPr>
            <w:tcW w:type="dxa" w:w="1587"/>
          </w:tcPr>
          <w:p>
            <w:pPr>
              <w:spacing w:after="0"/>
            </w:pPr>
            <w:r>
              <w:rPr>
                <w:b w:val="0"/>
                <w:i w:val="0"/>
              </w:rPr>
              <w:t>All tiers</w:t>
            </w:r>
          </w:p>
        </w:tc>
        <w:tc>
          <w:tcPr>
            <w:tcW w:type="dxa" w:w="4479"/>
          </w:tcPr>
          <w:p>
            <w:pPr>
              <w:spacing w:after="0"/>
            </w:pPr>
          </w:p>
        </w:tc>
      </w:tr>
      <w:tr>
        <w:trPr>
          <w:cantSplit w:val="true"/>
        </w:trPr>
        <w:tc>
          <w:tcPr>
            <w:tcW w:type="dxa" w:w="850"/>
          </w:tcPr>
          <w:p>
            <w:pPr>
              <w:spacing w:after="0"/>
            </w:pPr>
            <w:r>
              <w:rPr>
                <w:b/>
                <w:i w:val="0"/>
                <w:color w:val="1C3550"/>
              </w:rPr>
              <w:t>C-04</w:t>
            </w:r>
          </w:p>
        </w:tc>
        <w:tc>
          <w:tcPr>
            <w:tcW w:type="dxa" w:w="2721"/>
          </w:tcPr>
          <w:p>
            <w:pPr>
              <w:spacing w:after="0"/>
            </w:pPr>
            <w:r>
              <w:rPr>
                <w:b w:val="0"/>
                <w:i w:val="0"/>
              </w:rPr>
              <w:t>No content in telemetry and logs</w:t>
            </w:r>
          </w:p>
        </w:tc>
        <w:tc>
          <w:tcPr>
            <w:tcW w:type="dxa" w:w="1587"/>
          </w:tcPr>
          <w:p>
            <w:pPr>
              <w:spacing w:after="0"/>
            </w:pPr>
            <w:r>
              <w:rPr>
                <w:b w:val="0"/>
                <w:i w:val="0"/>
              </w:rPr>
              <w:t>All tiers</w:t>
            </w:r>
          </w:p>
        </w:tc>
        <w:tc>
          <w:tcPr>
            <w:tcW w:type="dxa" w:w="4479"/>
          </w:tcPr>
          <w:p>
            <w:pPr>
              <w:spacing w:after="0"/>
            </w:pPr>
          </w:p>
        </w:tc>
      </w:tr>
      <w:tr>
        <w:trPr>
          <w:cantSplit w:val="true"/>
        </w:trPr>
        <w:tc>
          <w:tcPr>
            <w:tcW w:type="dxa" w:w="850"/>
          </w:tcPr>
          <w:p>
            <w:pPr>
              <w:spacing w:after="0"/>
            </w:pPr>
            <w:r>
              <w:rPr>
                <w:b/>
                <w:i w:val="0"/>
                <w:color w:val="1C3550"/>
              </w:rPr>
              <w:t>C-05</w:t>
            </w:r>
          </w:p>
        </w:tc>
        <w:tc>
          <w:tcPr>
            <w:tcW w:type="dxa" w:w="2721"/>
          </w:tcPr>
          <w:p>
            <w:pPr>
              <w:spacing w:after="0"/>
            </w:pPr>
            <w:r>
              <w:rPr>
                <w:b w:val="0"/>
                <w:i w:val="0"/>
              </w:rPr>
              <w:t>Change notification</w:t>
            </w:r>
          </w:p>
        </w:tc>
        <w:tc>
          <w:tcPr>
            <w:tcW w:type="dxa" w:w="1587"/>
          </w:tcPr>
          <w:p>
            <w:pPr>
              <w:spacing w:after="0"/>
            </w:pPr>
            <w:r>
              <w:rPr>
                <w:b w:val="0"/>
                <w:i w:val="0"/>
              </w:rPr>
              <w:t>All tiers</w:t>
            </w:r>
          </w:p>
        </w:tc>
        <w:tc>
          <w:tcPr>
            <w:tcW w:type="dxa" w:w="4479"/>
          </w:tcPr>
          <w:p>
            <w:pPr>
              <w:spacing w:after="0"/>
            </w:pPr>
          </w:p>
        </w:tc>
      </w:tr>
      <w:tr>
        <w:trPr>
          <w:cantSplit w:val="true"/>
        </w:trPr>
        <w:tc>
          <w:tcPr>
            <w:tcW w:type="dxa" w:w="850"/>
          </w:tcPr>
          <w:p>
            <w:pPr>
              <w:spacing w:after="0"/>
            </w:pPr>
            <w:r>
              <w:rPr>
                <w:b/>
                <w:i w:val="0"/>
                <w:color w:val="1C3550"/>
              </w:rPr>
              <w:t>C-06</w:t>
            </w:r>
          </w:p>
        </w:tc>
        <w:tc>
          <w:tcPr>
            <w:tcW w:type="dxa" w:w="2721"/>
          </w:tcPr>
          <w:p>
            <w:pPr>
              <w:spacing w:after="0"/>
            </w:pPr>
            <w:r>
              <w:rPr>
                <w:b w:val="0"/>
                <w:i w:val="0"/>
              </w:rPr>
              <w:t>Connection list</w:t>
            </w:r>
          </w:p>
        </w:tc>
        <w:tc>
          <w:tcPr>
            <w:tcW w:type="dxa" w:w="1587"/>
          </w:tcPr>
          <w:p>
            <w:pPr>
              <w:spacing w:after="0"/>
            </w:pPr>
            <w:r>
              <w:rPr>
                <w:b w:val="0"/>
                <w:i w:val="0"/>
              </w:rPr>
              <w:t>All tiers</w:t>
            </w:r>
          </w:p>
        </w:tc>
        <w:tc>
          <w:tcPr>
            <w:tcW w:type="dxa" w:w="4479"/>
          </w:tcPr>
          <w:p>
            <w:pPr>
              <w:spacing w:after="0"/>
            </w:pPr>
          </w:p>
        </w:tc>
      </w:tr>
      <w:tr>
        <w:trPr>
          <w:cantSplit w:val="true"/>
        </w:trPr>
        <w:tc>
          <w:tcPr>
            <w:tcW w:type="dxa" w:w="850"/>
          </w:tcPr>
          <w:p>
            <w:pPr>
              <w:spacing w:after="0"/>
            </w:pPr>
            <w:r>
              <w:rPr>
                <w:b/>
                <w:i w:val="0"/>
                <w:color w:val="1C3550"/>
              </w:rPr>
              <w:t>C-07</w:t>
            </w:r>
          </w:p>
        </w:tc>
        <w:tc>
          <w:tcPr>
            <w:tcW w:type="dxa" w:w="2721"/>
          </w:tcPr>
          <w:p>
            <w:pPr>
              <w:spacing w:after="0"/>
            </w:pPr>
            <w:r>
              <w:rPr>
                <w:b w:val="0"/>
                <w:i w:val="0"/>
              </w:rPr>
              <w:t>Data processing agreement</w:t>
            </w:r>
          </w:p>
        </w:tc>
        <w:tc>
          <w:tcPr>
            <w:tcW w:type="dxa" w:w="1587"/>
          </w:tcPr>
          <w:p>
            <w:pPr>
              <w:spacing w:after="0"/>
            </w:pPr>
            <w:r>
              <w:rPr>
                <w:b w:val="0"/>
                <w:i w:val="0"/>
              </w:rPr>
              <w:t>All tiers</w:t>
            </w:r>
          </w:p>
        </w:tc>
        <w:tc>
          <w:tcPr>
            <w:tcW w:type="dxa" w:w="4479"/>
          </w:tcPr>
          <w:p>
            <w:pPr>
              <w:spacing w:after="0"/>
            </w:pPr>
          </w:p>
        </w:tc>
      </w:tr>
      <w:tr>
        <w:trPr>
          <w:cantSplit w:val="true"/>
        </w:trPr>
        <w:tc>
          <w:tcPr>
            <w:tcW w:type="dxa" w:w="850"/>
          </w:tcPr>
          <w:p>
            <w:pPr>
              <w:spacing w:after="0"/>
            </w:pPr>
            <w:r>
              <w:rPr>
                <w:b/>
                <w:i w:val="0"/>
                <w:color w:val="1C3550"/>
              </w:rPr>
              <w:t>C-08</w:t>
            </w:r>
          </w:p>
        </w:tc>
        <w:tc>
          <w:tcPr>
            <w:tcW w:type="dxa" w:w="2721"/>
          </w:tcPr>
          <w:p>
            <w:pPr>
              <w:spacing w:after="0"/>
            </w:pPr>
            <w:r>
              <w:rPr>
                <w:b w:val="0"/>
                <w:i w:val="0"/>
              </w:rPr>
              <w:t>User-triggered reports</w:t>
            </w:r>
          </w:p>
        </w:tc>
        <w:tc>
          <w:tcPr>
            <w:tcW w:type="dxa" w:w="1587"/>
          </w:tcPr>
          <w:p>
            <w:pPr>
              <w:spacing w:after="0"/>
            </w:pPr>
            <w:r>
              <w:rPr>
                <w:b w:val="0"/>
                <w:i w:val="0"/>
              </w:rPr>
              <w:t>All tiers</w:t>
            </w:r>
          </w:p>
        </w:tc>
        <w:tc>
          <w:tcPr>
            <w:tcW w:type="dxa" w:w="4479"/>
          </w:tcPr>
          <w:p>
            <w:pPr>
              <w:spacing w:after="0"/>
            </w:pPr>
            <w:r>
              <w:rPr>
                <w:b w:val="0"/>
                <w:i w:val="0"/>
              </w:rPr>
              <w:t>Replaced: ≥ 99 % of structured identifiers (IBAN, e-mail, phone, ID and tax numbers), ≥ 98 % of person names and ≥ 95 % of all canary values – as B-03.</w:t>
            </w:r>
          </w:p>
        </w:tc>
      </w:tr>
      <w:tr>
        <w:trPr>
          <w:cantSplit w:val="true"/>
        </w:trPr>
        <w:tc>
          <w:tcPr>
            <w:tcW w:type="dxa" w:w="850"/>
          </w:tcPr>
          <w:p>
            <w:pPr>
              <w:spacing w:after="0"/>
            </w:pPr>
            <w:r>
              <w:rPr>
                <w:b/>
                <w:i w:val="0"/>
                <w:color w:val="946A12"/>
              </w:rPr>
              <w:t>G-01</w:t>
            </w:r>
          </w:p>
        </w:tc>
        <w:tc>
          <w:tcPr>
            <w:tcW w:type="dxa" w:w="2721"/>
          </w:tcPr>
          <w:p>
            <w:pPr>
              <w:spacing w:after="0"/>
            </w:pPr>
            <w:r>
              <w:rPr>
                <w:b w:val="0"/>
                <w:i w:val="0"/>
              </w:rPr>
              <w:t>Local inference</w:t>
            </w:r>
          </w:p>
        </w:tc>
        <w:tc>
          <w:tcPr>
            <w:tcW w:type="dxa" w:w="1587"/>
          </w:tcPr>
          <w:p>
            <w:pPr>
              <w:spacing w:after="0"/>
            </w:pPr>
            <w:r>
              <w:rPr>
                <w:b w:val="0"/>
                <w:i w:val="0"/>
              </w:rPr>
              <w:t>Gold</w:t>
            </w:r>
          </w:p>
        </w:tc>
        <w:tc>
          <w:tcPr>
            <w:tcW w:type="dxa" w:w="4479"/>
          </w:tcPr>
          <w:p>
            <w:pPr>
              <w:spacing w:after="0"/>
            </w:pPr>
          </w:p>
        </w:tc>
      </w:tr>
      <w:tr>
        <w:trPr>
          <w:cantSplit w:val="true"/>
        </w:trPr>
        <w:tc>
          <w:tcPr>
            <w:tcW w:type="dxa" w:w="850"/>
          </w:tcPr>
          <w:p>
            <w:pPr>
              <w:spacing w:after="0"/>
            </w:pPr>
            <w:r>
              <w:rPr>
                <w:b/>
                <w:i w:val="0"/>
                <w:color w:val="946A12"/>
              </w:rPr>
              <w:t>G-02</w:t>
            </w:r>
          </w:p>
        </w:tc>
        <w:tc>
          <w:tcPr>
            <w:tcW w:type="dxa" w:w="2721"/>
          </w:tcPr>
          <w:p>
            <w:pPr>
              <w:spacing w:after="0"/>
            </w:pPr>
            <w:r>
              <w:rPr>
                <w:b w:val="0"/>
                <w:i w:val="0"/>
              </w:rPr>
              <w:t>Offline operation</w:t>
            </w:r>
          </w:p>
        </w:tc>
        <w:tc>
          <w:tcPr>
            <w:tcW w:type="dxa" w:w="1587"/>
          </w:tcPr>
          <w:p>
            <w:pPr>
              <w:spacing w:after="0"/>
            </w:pPr>
            <w:r>
              <w:rPr>
                <w:b w:val="0"/>
                <w:i w:val="0"/>
              </w:rPr>
              <w:t>Gold</w:t>
            </w:r>
          </w:p>
        </w:tc>
        <w:tc>
          <w:tcPr>
            <w:tcW w:type="dxa" w:w="4479"/>
          </w:tcPr>
          <w:p>
            <w:pPr>
              <w:spacing w:after="0"/>
            </w:pPr>
            <w:r>
              <w:rPr>
                <w:b w:val="0"/>
                <w:i w:val="0"/>
              </w:rPr>
              <w:t>Continued offline operation ≥ 14 days.</w:t>
            </w:r>
          </w:p>
        </w:tc>
      </w:tr>
      <w:tr>
        <w:trPr>
          <w:cantSplit w:val="true"/>
        </w:trPr>
        <w:tc>
          <w:tcPr>
            <w:tcW w:type="dxa" w:w="850"/>
          </w:tcPr>
          <w:p>
            <w:pPr>
              <w:spacing w:after="0"/>
            </w:pPr>
            <w:r>
              <w:rPr>
                <w:b/>
                <w:i w:val="0"/>
                <w:color w:val="946A12"/>
              </w:rPr>
              <w:t>G-03</w:t>
            </w:r>
          </w:p>
        </w:tc>
        <w:tc>
          <w:tcPr>
            <w:tcW w:type="dxa" w:w="2721"/>
          </w:tcPr>
          <w:p>
            <w:pPr>
              <w:spacing w:after="0"/>
            </w:pPr>
            <w:r>
              <w:rPr>
                <w:b w:val="0"/>
                <w:i w:val="0"/>
              </w:rPr>
              <w:t>Verifiable models</w:t>
            </w:r>
          </w:p>
        </w:tc>
        <w:tc>
          <w:tcPr>
            <w:tcW w:type="dxa" w:w="1587"/>
          </w:tcPr>
          <w:p>
            <w:pPr>
              <w:spacing w:after="0"/>
            </w:pPr>
            <w:r>
              <w:rPr>
                <w:b w:val="0"/>
                <w:i w:val="0"/>
              </w:rPr>
              <w:t>Gold</w:t>
            </w:r>
          </w:p>
        </w:tc>
        <w:tc>
          <w:tcPr>
            <w:tcW w:type="dxa" w:w="4479"/>
          </w:tcPr>
          <w:p>
            <w:pPr>
              <w:spacing w:after="0"/>
            </w:pPr>
          </w:p>
        </w:tc>
      </w:tr>
      <w:tr>
        <w:trPr>
          <w:cantSplit w:val="true"/>
        </w:trPr>
        <w:tc>
          <w:tcPr>
            <w:tcW w:type="dxa" w:w="850"/>
          </w:tcPr>
          <w:p>
            <w:pPr>
              <w:spacing w:after="0"/>
            </w:pPr>
            <w:r>
              <w:rPr>
                <w:b/>
                <w:i w:val="0"/>
                <w:color w:val="5F6B78"/>
              </w:rPr>
              <w:t>S-01</w:t>
            </w:r>
          </w:p>
        </w:tc>
        <w:tc>
          <w:tcPr>
            <w:tcW w:type="dxa" w:w="2721"/>
          </w:tcPr>
          <w:p>
            <w:pPr>
              <w:spacing w:after="0"/>
            </w:pPr>
            <w:r>
              <w:rPr>
                <w:b w:val="0"/>
                <w:i w:val="0"/>
              </w:rPr>
              <w:t>Vendor-operated AI</w:t>
            </w:r>
          </w:p>
        </w:tc>
        <w:tc>
          <w:tcPr>
            <w:tcW w:type="dxa" w:w="1587"/>
          </w:tcPr>
          <w:p>
            <w:pPr>
              <w:spacing w:after="0"/>
            </w:pPr>
            <w:r>
              <w:rPr>
                <w:b w:val="0"/>
                <w:i w:val="0"/>
              </w:rPr>
              <w:t>Silver · S-a</w:t>
            </w:r>
          </w:p>
        </w:tc>
        <w:tc>
          <w:tcPr>
            <w:tcW w:type="dxa" w:w="4479"/>
          </w:tcPr>
          <w:p>
            <w:pPr>
              <w:spacing w:after="0"/>
            </w:pPr>
          </w:p>
        </w:tc>
      </w:tr>
      <w:tr>
        <w:trPr>
          <w:cantSplit w:val="true"/>
        </w:trPr>
        <w:tc>
          <w:tcPr>
            <w:tcW w:type="dxa" w:w="850"/>
          </w:tcPr>
          <w:p>
            <w:pPr>
              <w:spacing w:after="0"/>
            </w:pPr>
            <w:r>
              <w:rPr>
                <w:b/>
                <w:i w:val="0"/>
                <w:color w:val="5F6B78"/>
              </w:rPr>
              <w:t>S-02</w:t>
            </w:r>
          </w:p>
        </w:tc>
        <w:tc>
          <w:tcPr>
            <w:tcW w:type="dxa" w:w="2721"/>
          </w:tcPr>
          <w:p>
            <w:pPr>
              <w:spacing w:after="0"/>
            </w:pPr>
            <w:r>
              <w:rPr>
                <w:b w:val="0"/>
                <w:i w:val="0"/>
              </w:rPr>
              <w:t>Router</w:t>
            </w:r>
          </w:p>
        </w:tc>
        <w:tc>
          <w:tcPr>
            <w:tcW w:type="dxa" w:w="1587"/>
          </w:tcPr>
          <w:p>
            <w:pPr>
              <w:spacing w:after="0"/>
            </w:pPr>
            <w:r>
              <w:rPr>
                <w:b w:val="0"/>
                <w:i w:val="0"/>
              </w:rPr>
              <w:t>Silver · S-b</w:t>
            </w:r>
          </w:p>
        </w:tc>
        <w:tc>
          <w:tcPr>
            <w:tcW w:type="dxa" w:w="4479"/>
          </w:tcPr>
          <w:p>
            <w:pPr>
              <w:spacing w:after="0"/>
            </w:pPr>
          </w:p>
        </w:tc>
      </w:tr>
      <w:tr>
        <w:trPr>
          <w:cantSplit w:val="true"/>
        </w:trPr>
        <w:tc>
          <w:tcPr>
            <w:tcW w:type="dxa" w:w="850"/>
          </w:tcPr>
          <w:p>
            <w:pPr>
              <w:spacing w:after="0"/>
            </w:pPr>
            <w:r>
              <w:rPr>
                <w:b/>
                <w:i w:val="0"/>
                <w:color w:val="5F6B78"/>
              </w:rPr>
              <w:t>S-03</w:t>
            </w:r>
          </w:p>
        </w:tc>
        <w:tc>
          <w:tcPr>
            <w:tcW w:type="dxa" w:w="2721"/>
          </w:tcPr>
          <w:p>
            <w:pPr>
              <w:spacing w:after="0"/>
            </w:pPr>
            <w:r>
              <w:rPr>
                <w:b w:val="0"/>
                <w:i w:val="0"/>
              </w:rPr>
              <w:t>Router accuracy</w:t>
            </w:r>
          </w:p>
        </w:tc>
        <w:tc>
          <w:tcPr>
            <w:tcW w:type="dxa" w:w="1587"/>
          </w:tcPr>
          <w:p>
            <w:pPr>
              <w:spacing w:after="0"/>
            </w:pPr>
            <w:r>
              <w:rPr>
                <w:b w:val="0"/>
                <w:i w:val="0"/>
              </w:rPr>
              <w:t>Silver · S-b</w:t>
            </w:r>
          </w:p>
        </w:tc>
        <w:tc>
          <w:tcPr>
            <w:tcW w:type="dxa" w:w="4479"/>
          </w:tcPr>
          <w:p>
            <w:pPr>
              <w:spacing w:after="0"/>
            </w:pPr>
            <w:r>
              <w:rPr>
                <w:b w:val="0"/>
                <w:i w:val="0"/>
              </w:rPr>
              <w:t>Of the test requests containing personal data, at most 0.5 % reach the third-party AI (≥ 99.5 % kept back); for requests containing structured identifiers (IBAN, e-mail, phone, ID and tax numbers), at most 0.1 % (≥ 99.9 %).</w:t>
            </w:r>
          </w:p>
        </w:tc>
      </w:tr>
      <w:tr>
        <w:trPr>
          <w:cantSplit w:val="true"/>
        </w:trPr>
        <w:tc>
          <w:tcPr>
            <w:tcW w:type="dxa" w:w="850"/>
          </w:tcPr>
          <w:p>
            <w:pPr>
              <w:spacing w:after="0"/>
            </w:pPr>
            <w:r>
              <w:rPr>
                <w:b/>
                <w:i w:val="0"/>
                <w:color w:val="5F6B78"/>
              </w:rPr>
              <w:t>S-04</w:t>
            </w:r>
          </w:p>
        </w:tc>
        <w:tc>
          <w:tcPr>
            <w:tcW w:type="dxa" w:w="2721"/>
          </w:tcPr>
          <w:p>
            <w:pPr>
              <w:spacing w:after="0"/>
            </w:pPr>
            <w:r>
              <w:rPr>
                <w:b w:val="0"/>
                <w:i w:val="0"/>
              </w:rPr>
              <w:t>Router fails closed</w:t>
            </w:r>
          </w:p>
        </w:tc>
        <w:tc>
          <w:tcPr>
            <w:tcW w:type="dxa" w:w="1587"/>
          </w:tcPr>
          <w:p>
            <w:pPr>
              <w:spacing w:after="0"/>
            </w:pPr>
            <w:r>
              <w:rPr>
                <w:b w:val="0"/>
                <w:i w:val="0"/>
              </w:rPr>
              <w:t>Silver · S-b</w:t>
            </w:r>
          </w:p>
        </w:tc>
        <w:tc>
          <w:tcPr>
            <w:tcW w:type="dxa" w:w="4479"/>
          </w:tcPr>
          <w:p>
            <w:pPr>
              <w:spacing w:after="0"/>
            </w:pPr>
          </w:p>
        </w:tc>
      </w:tr>
      <w:tr>
        <w:trPr>
          <w:cantSplit w:val="true"/>
        </w:trPr>
        <w:tc>
          <w:tcPr>
            <w:tcW w:type="dxa" w:w="850"/>
          </w:tcPr>
          <w:p>
            <w:pPr>
              <w:spacing w:after="0"/>
            </w:pPr>
            <w:r>
              <w:rPr>
                <w:b/>
                <w:i w:val="0"/>
                <w:color w:val="8E4F1E"/>
              </w:rPr>
              <w:t>B-01</w:t>
            </w:r>
          </w:p>
        </w:tc>
        <w:tc>
          <w:tcPr>
            <w:tcW w:type="dxa" w:w="2721"/>
          </w:tcPr>
          <w:p>
            <w:pPr>
              <w:spacing w:after="0"/>
            </w:pPr>
            <w:r>
              <w:rPr>
                <w:b w:val="0"/>
                <w:i w:val="0"/>
              </w:rPr>
              <w:t>Pseudonymisation before transfer</w:t>
            </w:r>
          </w:p>
        </w:tc>
        <w:tc>
          <w:tcPr>
            <w:tcW w:type="dxa" w:w="1587"/>
          </w:tcPr>
          <w:p>
            <w:pPr>
              <w:spacing w:after="0"/>
            </w:pPr>
            <w:r>
              <w:rPr>
                <w:b w:val="0"/>
                <w:i w:val="0"/>
              </w:rPr>
              <w:t>Bronze</w:t>
            </w:r>
          </w:p>
        </w:tc>
        <w:tc>
          <w:tcPr>
            <w:tcW w:type="dxa" w:w="4479"/>
          </w:tcPr>
          <w:p>
            <w:pPr>
              <w:spacing w:after="0"/>
            </w:pPr>
          </w:p>
        </w:tc>
      </w:tr>
      <w:tr>
        <w:trPr>
          <w:cantSplit w:val="true"/>
        </w:trPr>
        <w:tc>
          <w:tcPr>
            <w:tcW w:type="dxa" w:w="850"/>
          </w:tcPr>
          <w:p>
            <w:pPr>
              <w:spacing w:after="0"/>
            </w:pPr>
            <w:r>
              <w:rPr>
                <w:b/>
                <w:i w:val="0"/>
                <w:color w:val="8E4F1E"/>
              </w:rPr>
              <w:t>B-02</w:t>
            </w:r>
          </w:p>
        </w:tc>
        <w:tc>
          <w:tcPr>
            <w:tcW w:type="dxa" w:w="2721"/>
          </w:tcPr>
          <w:p>
            <w:pPr>
              <w:spacing w:after="0"/>
            </w:pPr>
            <w:r>
              <w:rPr>
                <w:b w:val="0"/>
                <w:i w:val="0"/>
              </w:rPr>
              <w:t>Categories covered</w:t>
            </w:r>
          </w:p>
        </w:tc>
        <w:tc>
          <w:tcPr>
            <w:tcW w:type="dxa" w:w="1587"/>
          </w:tcPr>
          <w:p>
            <w:pPr>
              <w:spacing w:after="0"/>
            </w:pPr>
            <w:r>
              <w:rPr>
                <w:b w:val="0"/>
                <w:i w:val="0"/>
              </w:rPr>
              <w:t>Bronze</w:t>
            </w:r>
          </w:p>
        </w:tc>
        <w:tc>
          <w:tcPr>
            <w:tcW w:type="dxa" w:w="4479"/>
          </w:tcPr>
          <w:p>
            <w:pPr>
              <w:spacing w:after="0"/>
            </w:pPr>
          </w:p>
        </w:tc>
      </w:tr>
      <w:tr>
        <w:trPr>
          <w:cantSplit w:val="true"/>
        </w:trPr>
        <w:tc>
          <w:tcPr>
            <w:tcW w:type="dxa" w:w="850"/>
          </w:tcPr>
          <w:p>
            <w:pPr>
              <w:spacing w:after="0"/>
            </w:pPr>
            <w:r>
              <w:rPr>
                <w:b/>
                <w:i w:val="0"/>
                <w:color w:val="8E4F1E"/>
              </w:rPr>
              <w:t>B-03</w:t>
            </w:r>
          </w:p>
        </w:tc>
        <w:tc>
          <w:tcPr>
            <w:tcW w:type="dxa" w:w="2721"/>
          </w:tcPr>
          <w:p>
            <w:pPr>
              <w:spacing w:after="0"/>
            </w:pPr>
            <w:r>
              <w:rPr>
                <w:b w:val="0"/>
                <w:i w:val="0"/>
              </w:rPr>
              <w:t>Detection rate</w:t>
            </w:r>
          </w:p>
        </w:tc>
        <w:tc>
          <w:tcPr>
            <w:tcW w:type="dxa" w:w="1587"/>
          </w:tcPr>
          <w:p>
            <w:pPr>
              <w:spacing w:after="0"/>
            </w:pPr>
            <w:r>
              <w:rPr>
                <w:b w:val="0"/>
                <w:i w:val="0"/>
              </w:rPr>
              <w:t>Bronze</w:t>
            </w:r>
          </w:p>
        </w:tc>
        <w:tc>
          <w:tcPr>
            <w:tcW w:type="dxa" w:w="4479"/>
          </w:tcPr>
          <w:p>
            <w:pPr>
              <w:spacing w:after="0"/>
            </w:pPr>
            <w:r>
              <w:rPr>
                <w:b w:val="0"/>
                <w:i w:val="0"/>
              </w:rPr>
              <w:t>Removed: ≥ 99 % of structured identifiers (IBAN, e-mail, phone, ID and tax numbers), ≥ 98 % of person names and ≥ 95 % of all canary values overall.</w:t>
            </w:r>
          </w:p>
        </w:tc>
      </w:tr>
      <w:tr>
        <w:trPr>
          <w:cantSplit w:val="true"/>
        </w:trPr>
        <w:tc>
          <w:tcPr>
            <w:tcW w:type="dxa" w:w="850"/>
          </w:tcPr>
          <w:p>
            <w:pPr>
              <w:spacing w:after="0"/>
            </w:pPr>
            <w:r>
              <w:rPr>
                <w:b/>
                <w:i w:val="0"/>
                <w:color w:val="8E4F1E"/>
              </w:rPr>
              <w:t>B-04</w:t>
            </w:r>
          </w:p>
        </w:tc>
        <w:tc>
          <w:tcPr>
            <w:tcW w:type="dxa" w:w="2721"/>
          </w:tcPr>
          <w:p>
            <w:pPr>
              <w:spacing w:after="0"/>
            </w:pPr>
            <w:r>
              <w:rPr>
                <w:b w:val="0"/>
                <w:i w:val="0"/>
              </w:rPr>
              <w:t>Mapping table stays</w:t>
            </w:r>
          </w:p>
        </w:tc>
        <w:tc>
          <w:tcPr>
            <w:tcW w:type="dxa" w:w="1587"/>
          </w:tcPr>
          <w:p>
            <w:pPr>
              <w:spacing w:after="0"/>
            </w:pPr>
            <w:r>
              <w:rPr>
                <w:b w:val="0"/>
                <w:i w:val="0"/>
              </w:rPr>
              <w:t>Bronze</w:t>
            </w:r>
          </w:p>
        </w:tc>
        <w:tc>
          <w:tcPr>
            <w:tcW w:type="dxa" w:w="4479"/>
          </w:tcPr>
          <w:p>
            <w:pPr>
              <w:spacing w:after="0"/>
            </w:pPr>
          </w:p>
        </w:tc>
      </w:tr>
      <w:tr>
        <w:trPr>
          <w:cantSplit w:val="true"/>
        </w:trPr>
        <w:tc>
          <w:tcPr>
            <w:tcW w:type="dxa" w:w="850"/>
          </w:tcPr>
          <w:p>
            <w:pPr>
              <w:spacing w:after="0"/>
            </w:pPr>
            <w:r>
              <w:rPr>
                <w:b/>
                <w:i w:val="0"/>
                <w:color w:val="8E4F1E"/>
              </w:rPr>
              <w:t>B-05</w:t>
            </w:r>
          </w:p>
        </w:tc>
        <w:tc>
          <w:tcPr>
            <w:tcW w:type="dxa" w:w="2721"/>
          </w:tcPr>
          <w:p>
            <w:pPr>
              <w:spacing w:after="0"/>
            </w:pPr>
            <w:r>
              <w:rPr>
                <w:b w:val="0"/>
                <w:i w:val="0"/>
              </w:rPr>
              <w:t>Pseudonymisation fails closed</w:t>
            </w:r>
          </w:p>
        </w:tc>
        <w:tc>
          <w:tcPr>
            <w:tcW w:type="dxa" w:w="1587"/>
          </w:tcPr>
          <w:p>
            <w:pPr>
              <w:spacing w:after="0"/>
            </w:pPr>
            <w:r>
              <w:rPr>
                <w:b w:val="0"/>
                <w:i w:val="0"/>
              </w:rPr>
              <w:t>Bronze</w:t>
            </w:r>
          </w:p>
        </w:tc>
        <w:tc>
          <w:tcPr>
            <w:tcW w:type="dxa" w:w="4479"/>
          </w:tcPr>
          <w:p>
            <w:pPr>
              <w:spacing w:after="0"/>
            </w:pPr>
          </w:p>
        </w:tc>
      </w:tr>
      <w:tr>
        <w:trPr>
          <w:cantSplit w:val="true"/>
        </w:trPr>
        <w:tc>
          <w:tcPr>
            <w:tcW w:type="dxa" w:w="850"/>
          </w:tcPr>
          <w:p>
            <w:pPr>
              <w:spacing w:after="0"/>
            </w:pPr>
            <w:r>
              <w:rPr>
                <w:b/>
                <w:i w:val="0"/>
                <w:color w:val="8E4F1E"/>
              </w:rPr>
              <w:t>B-06</w:t>
            </w:r>
          </w:p>
        </w:tc>
        <w:tc>
          <w:tcPr>
            <w:tcW w:type="dxa" w:w="2721"/>
          </w:tcPr>
          <w:p>
            <w:pPr>
              <w:spacing w:after="0"/>
            </w:pPr>
            <w:r>
              <w:rPr>
                <w:b w:val="0"/>
                <w:i w:val="0"/>
              </w:rPr>
              <w:t>Visible to users</w:t>
            </w:r>
          </w:p>
        </w:tc>
        <w:tc>
          <w:tcPr>
            <w:tcW w:type="dxa" w:w="1587"/>
          </w:tcPr>
          <w:p>
            <w:pPr>
              <w:spacing w:after="0"/>
            </w:pPr>
            <w:r>
              <w:rPr>
                <w:b w:val="0"/>
                <w:i w:val="0"/>
              </w:rPr>
              <w:t>Bronze</w:t>
            </w:r>
          </w:p>
        </w:tc>
        <w:tc>
          <w:tcPr>
            <w:tcW w:type="dxa" w:w="4479"/>
          </w:tcPr>
          <w:p>
            <w:pPr>
              <w:spacing w:after="0"/>
            </w:pPr>
          </w:p>
        </w:tc>
      </w:tr>
      <w:tr>
        <w:trPr>
          <w:cantSplit w:val="true"/>
        </w:trPr>
        <w:tc>
          <w:tcPr>
            <w:tcW w:type="dxa" w:w="850"/>
          </w:tcPr>
          <w:p>
            <w:pPr>
              <w:spacing w:after="0"/>
            </w:pPr>
            <w:r>
              <w:rPr>
                <w:b/>
                <w:i w:val="0"/>
                <w:color w:val="8E4F1E"/>
              </w:rPr>
              <w:t>B-07</w:t>
            </w:r>
          </w:p>
        </w:tc>
        <w:tc>
          <w:tcPr>
            <w:tcW w:type="dxa" w:w="2721"/>
          </w:tcPr>
          <w:p>
            <w:pPr>
              <w:spacing w:after="0"/>
            </w:pPr>
            <w:r>
              <w:rPr>
                <w:b w:val="0"/>
                <w:i w:val="0"/>
              </w:rPr>
              <w:t>Contract with the third-party AI</w:t>
            </w:r>
          </w:p>
        </w:tc>
        <w:tc>
          <w:tcPr>
            <w:tcW w:type="dxa" w:w="1587"/>
          </w:tcPr>
          <w:p>
            <w:pPr>
              <w:spacing w:after="0"/>
            </w:pPr>
            <w:r>
              <w:rPr>
                <w:b w:val="0"/>
                <w:i w:val="0"/>
              </w:rPr>
              <w:t>Bronze</w:t>
            </w:r>
          </w:p>
        </w:tc>
        <w:tc>
          <w:tcPr>
            <w:tcW w:type="dxa" w:w="4479"/>
          </w:tcPr>
          <w:p>
            <w:pPr>
              <w:spacing w:after="0"/>
            </w:pPr>
            <w:r>
              <w:rPr>
                <w:b w:val="0"/>
                <w:i w:val="0"/>
              </w:rPr>
              <w:t>Retention ≤ 30 days.</w:t>
            </w:r>
          </w:p>
        </w:tc>
      </w:tr>
      <w:tr>
        <w:trPr>
          <w:cantSplit w:val="true"/>
        </w:trPr>
        <w:tc>
          <w:tcPr>
            <w:tcW w:type="dxa" w:w="850"/>
          </w:tcPr>
          <w:p>
            <w:pPr>
              <w:spacing w:after="0"/>
            </w:pPr>
            <w:r>
              <w:rPr>
                <w:b/>
                <w:i w:val="0"/>
                <w:color w:val="8E4F1E"/>
              </w:rPr>
              <w:t>B-08</w:t>
            </w:r>
          </w:p>
        </w:tc>
        <w:tc>
          <w:tcPr>
            <w:tcW w:type="dxa" w:w="2721"/>
          </w:tcPr>
          <w:p>
            <w:pPr>
              <w:spacing w:after="0"/>
            </w:pPr>
            <w:r>
              <w:rPr>
                <w:b w:val="0"/>
                <w:i w:val="0"/>
              </w:rPr>
              <w:t>Correct wording</w:t>
            </w:r>
          </w:p>
        </w:tc>
        <w:tc>
          <w:tcPr>
            <w:tcW w:type="dxa" w:w="1587"/>
          </w:tcPr>
          <w:p>
            <w:pPr>
              <w:spacing w:after="0"/>
            </w:pPr>
            <w:r>
              <w:rPr>
                <w:b w:val="0"/>
                <w:i w:val="0"/>
              </w:rPr>
              <w:t>Bronze</w:t>
            </w:r>
          </w:p>
        </w:tc>
        <w:tc>
          <w:tcPr>
            <w:tcW w:type="dxa" w:w="4479"/>
          </w:tcPr>
          <w:p>
            <w:pPr>
              <w:spacing w:after="0"/>
            </w:pPr>
          </w:p>
        </w:tc>
      </w:tr>
    </w:tbl>
    <w:sectPr w:rsidR="00FC693F" w:rsidRPr="0006063C" w:rsidSect="00034616">
      <w:headerReference w:type="default" r:id="rId9"/>
      <w:foot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b w:val="0"/>
        <w:i w:val="0"/>
        <w:color w:val="586676"/>
        <w:sz w:val="16"/>
      </w:rPr>
      <w:t>nocip.com</w:t>
    </w:r>
    <w:r>
      <w:rPr>
        <w:b w:val="0"/>
        <w:i w:val="0"/>
        <w:color w:val="586676"/>
        <w:sz w:val="16"/>
      </w:rPr>
      <w:tab/>
      <w:t xml:space="preserve">Page </w:t>
    </w:r>
    <w:r>
      <w:rPr>
        <w:color w:val="586676"/>
        <w:sz w:val="16"/>
      </w:rPr>
      <w:fldChar w:fldCharType="begin"/>
      <w:instrText xml:space="preserve"> PAGE </w:instrText>
      <w:fldChar w:fldCharType="separate"/>
      <w:t>1</w:t>
      <w:fldChar w:fldCharType="end"/>
    </w:r>
    <w:r>
      <w:rPr>
        <w:b w:val="0"/>
        <w:i w:val="0"/>
        <w:color w:val="586676"/>
        <w:sz w:val="16"/>
      </w:rPr>
      <w:t xml:space="preserve"> of </w:t>
    </w:r>
    <w:r>
      <w:rPr>
        <w:color w:val="586676"/>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Pr>
    <w:r>
      <w:rPr>
        <w:b w:val="0"/>
        <w:i w:val="0"/>
        <w:color w:val="586676"/>
        <w:sz w:val="16"/>
      </w:rPr>
      <w:t>NOCIP · Applicant Guide</w:t>
    </w:r>
    <w:r>
      <w:rPr>
        <w:b w:val="0"/>
        <w:i w:val="0"/>
        <w:color w:val="586676"/>
        <w:sz w:val="16"/>
      </w:rPr>
      <w:tab/>
      <w:t>Version 1.0 · Draft · 2026-10-29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88" w:lineRule="auto"/>
    </w:pPr>
    <w:rPr>
      <w:rFonts w:ascii="Public Sans" w:hAnsi="Public Sans" w:cs="Public Sans" w:eastAsia="Public Sans"/>
      <w:color w:val="142231"/>
      <w:sz w:val="19"/>
    </w:rPr>
  </w:style>
  <w:style w:type="paragraph" w:styleId="Header">
    <w:name w:val="header"/>
    <w:basedOn w:val="Normal"/>
    <w:link w:val="HeaderChar"/>
    <w:uiPriority w:val="99"/>
    <w:unhideWhenUsed/>
    <w:rsid w:val="00E618BF"/>
    <w:pPr>
      <w:tabs>
        <w:tab w:val="center" w:pos="4680"/>
        <w:tab w:pos="4680" w:val="clear"/>
        <w:tab w:val="right" w:pos="9360"/>
        <w:tab w:pos="9360" w:val="clear"/>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pos="4680" w:val="clear"/>
        <w:tab w:val="right" w:pos="9360"/>
        <w:tab w:pos="9360" w:val="clear"/>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00"/>
      <w:outlineLvl w:val="0"/>
    </w:pPr>
    <w:rPr>
      <w:rFonts w:ascii="Archivo ExtraBold" w:hAnsi="Archivo ExtraBold" w:cs="Archivo ExtraBold" w:eastAsia="Archivo ExtraBold"/>
      <w:b w:val="0"/>
      <w:bCs/>
      <w:i w:val="0"/>
      <w:color w:val="1C3550"/>
      <w:sz w:val="3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Archivo ExtraBold" w:hAnsi="Archivo ExtraBold" w:cs="Archivo ExtraBold" w:eastAsia="Archivo ExtraBold"/>
      <w:b w:val="0"/>
      <w:bCs/>
      <w:i w:val="0"/>
      <w:color w:val="1C355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Archivo ExtraBold" w:hAnsi="Archivo ExtraBold" w:cs="Archivo ExtraBold" w:eastAsia="Archivo ExtraBold"/>
      <w:b w:val="0"/>
      <w:bCs/>
      <w:i w:val="0"/>
      <w:color w:val="1C35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chivo ExtraBold" w:hAnsi="Archivo ExtraBold" w:cs="Archivo ExtraBold" w:eastAsia="Archivo ExtraBold"/>
      <w:b w:val="0"/>
      <w:color w:val="14223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