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Keine Cloud-Inferenz mit personenbezogenen Daten</w:t>
      </w:r>
    </w:p>
    <w:p>
      <w:pPr>
        <w:pStyle w:val="Title"/>
        <w:spacing w:after="120"/>
      </w:pPr>
      <w:r>
        <w:rPr>
          <w:b w:val="0"/>
          <w:i w:val="0"/>
        </w:rPr>
        <w:t>Selbstauskunft</w:t>
      </w:r>
    </w:p>
    <w:p>
      <w:pPr>
        <w:spacing w:after="360"/>
      </w:pPr>
      <w:r>
        <w:rPr>
          <w:b w:val="0"/>
          <w:i w:val="0"/>
          <w:color w:val="586676"/>
          <w:sz w:val="18"/>
        </w:rPr>
        <w:t>Version 1.0 · 29.10.2026 · Entwurf – noch nicht freigegeben</w:t>
      </w:r>
    </w:p>
    <w:p>
      <w:r>
        <w:rPr>
          <w:b w:val="0"/>
          <w:i w:val="0"/>
        </w:rPr>
        <w:t>Bitte beantworten Sie die gemeinsamen Kriterien (C) und alle Kriterien der Stufe, die Sie beantragen. Für Silber beantworten Sie die Kriterien der Variante(n), die auf Ihr Produkt zutreffen. Kriterien niedrigerer Stufen können Sie zusätzlich beantworten; dann kann Ihr Produkt die niedrigere Stufe erhalten, falls es die beantragte nicht vollständig erfüllt.</w:t>
      </w:r>
    </w:p>
    <w:p>
      <w:r>
        <w:rPr>
          <w:b w:val="0"/>
          <w:i w:val="0"/>
        </w:rPr>
        <w:t>Nachweise fügen Sie als Dateien bei, deren Namen mit der Kennung des Kriteriums beginnen (z. B. „C-02_Modelle.pdf“). Trifft ein Kriterium nicht zu, kreuzen Sie „entfällt“ an und begründen Sie das.</w:t>
      </w:r>
    </w:p>
    <w:p>
      <w:pPr>
        <w:pStyle w:val="Heading1"/>
      </w:pPr>
      <w:r>
        <w:t>Teil A · Anbieter und Produkt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835"/>
        <w:gridCol w:w="6804"/>
      </w:tblGrid>
      <w:tr>
        <w:trPr>
          <w:cantSplit w:val="true"/>
          <w:trHeight w:val="454"/>
        </w:trPr>
        <w:tc>
          <w:tcPr>
            <w:tcW w:type="dxa" w:w="2835"/>
          </w:tcPr>
          <w:p>
            <w:pPr>
              <w:spacing w:after="0"/>
            </w:pPr>
            <w:r>
              <w:rPr>
                <w:b/>
                <w:i w:val="0"/>
              </w:rPr>
              <w:t>Unternehmen</w:t>
            </w:r>
          </w:p>
        </w:tc>
        <w:tc>
          <w:tcPr>
            <w:tcW w:type="dxa" w:w="6803"/>
          </w:tcPr>
          <w:p>
            <w:pPr>
              <w:spacing w:after="0"/>
            </w:pPr>
          </w:p>
        </w:tc>
      </w:tr>
      <w:tr>
        <w:trPr>
          <w:cantSplit w:val="true"/>
          <w:trHeight w:val="454"/>
        </w:trPr>
        <w:tc>
          <w:tcPr>
            <w:tcW w:type="dxa" w:w="2835"/>
          </w:tcPr>
          <w:p>
            <w:pPr>
              <w:spacing w:after="0"/>
            </w:pPr>
            <w:r>
              <w:rPr>
                <w:b/>
                <w:i w:val="0"/>
              </w:rPr>
              <w:t>Anschrift</w:t>
            </w:r>
          </w:p>
        </w:tc>
        <w:tc>
          <w:tcPr>
            <w:tcW w:type="dxa" w:w="6803"/>
          </w:tcPr>
          <w:p>
            <w:pPr>
              <w:spacing w:after="0"/>
            </w:pPr>
          </w:p>
        </w:tc>
      </w:tr>
      <w:tr>
        <w:trPr>
          <w:cantSplit w:val="true"/>
          <w:trHeight w:val="454"/>
        </w:trPr>
        <w:tc>
          <w:tcPr>
            <w:tcW w:type="dxa" w:w="2835"/>
          </w:tcPr>
          <w:p>
            <w:pPr>
              <w:spacing w:after="0"/>
            </w:pPr>
            <w:r>
              <w:rPr>
                <w:b/>
                <w:i w:val="0"/>
              </w:rPr>
              <w:t>Ansprechpartner (Name, Funktion)</w:t>
            </w:r>
          </w:p>
        </w:tc>
        <w:tc>
          <w:tcPr>
            <w:tcW w:type="dxa" w:w="6803"/>
          </w:tcPr>
          <w:p>
            <w:pPr>
              <w:spacing w:after="0"/>
            </w:pPr>
          </w:p>
        </w:tc>
      </w:tr>
      <w:tr>
        <w:trPr>
          <w:cantSplit w:val="true"/>
          <w:trHeight w:val="454"/>
        </w:trPr>
        <w:tc>
          <w:tcPr>
            <w:tcW w:type="dxa" w:w="2835"/>
          </w:tcPr>
          <w:p>
            <w:pPr>
              <w:spacing w:after="0"/>
            </w:pPr>
            <w:r>
              <w:rPr>
                <w:b/>
                <w:i w:val="0"/>
              </w:rPr>
              <w:t>E-Mail, Telefon</w:t>
            </w:r>
          </w:p>
        </w:tc>
        <w:tc>
          <w:tcPr>
            <w:tcW w:type="dxa" w:w="6803"/>
          </w:tcPr>
          <w:p>
            <w:pPr>
              <w:spacing w:after="0"/>
            </w:pPr>
          </w:p>
        </w:tc>
      </w:tr>
      <w:tr>
        <w:trPr>
          <w:cantSplit w:val="true"/>
          <w:trHeight w:val="454"/>
        </w:trPr>
        <w:tc>
          <w:tcPr>
            <w:tcW w:type="dxa" w:w="2835"/>
          </w:tcPr>
          <w:p>
            <w:pPr>
              <w:spacing w:after="0"/>
            </w:pPr>
            <w:r>
              <w:rPr>
                <w:b/>
                <w:i w:val="0"/>
              </w:rPr>
              <w:t>Produkt</w:t>
            </w:r>
          </w:p>
        </w:tc>
        <w:tc>
          <w:tcPr>
            <w:tcW w:type="dxa" w:w="6803"/>
          </w:tcPr>
          <w:p>
            <w:pPr>
              <w:spacing w:after="0"/>
            </w:pPr>
          </w:p>
        </w:tc>
      </w:tr>
      <w:tr>
        <w:trPr>
          <w:cantSplit w:val="true"/>
          <w:trHeight w:val="454"/>
        </w:trPr>
        <w:tc>
          <w:tcPr>
            <w:tcW w:type="dxa" w:w="2835"/>
          </w:tcPr>
          <w:p>
            <w:pPr>
              <w:spacing w:after="0"/>
            </w:pPr>
            <w:r>
              <w:rPr>
                <w:b/>
                <w:i w:val="0"/>
              </w:rPr>
              <w:t>Version</w:t>
            </w:r>
          </w:p>
        </w:tc>
        <w:tc>
          <w:tcPr>
            <w:tcW w:type="dxa" w:w="6803"/>
          </w:tcPr>
          <w:p>
            <w:pPr>
              <w:spacing w:after="0"/>
            </w:pPr>
          </w:p>
        </w:tc>
      </w:tr>
      <w:tr>
        <w:trPr>
          <w:cantSplit w:val="true"/>
          <w:trHeight w:val="454"/>
        </w:trPr>
        <w:tc>
          <w:tcPr>
            <w:tcW w:type="dxa" w:w="2835"/>
          </w:tcPr>
          <w:p>
            <w:pPr>
              <w:spacing w:after="0"/>
            </w:pPr>
            <w:r>
              <w:rPr>
                <w:b/>
                <w:i w:val="0"/>
              </w:rPr>
              <w:t>Website des Produkts</w:t>
            </w:r>
          </w:p>
        </w:tc>
        <w:tc>
          <w:tcPr>
            <w:tcW w:type="dxa" w:w="6803"/>
          </w:tcPr>
          <w:p>
            <w:pPr>
              <w:spacing w:after="0"/>
            </w:pPr>
          </w:p>
        </w:tc>
      </w:tr>
      <w:tr>
        <w:trPr>
          <w:cantSplit w:val="true"/>
          <w:trHeight w:val="1417"/>
        </w:trPr>
        <w:tc>
          <w:tcPr>
            <w:tcW w:type="dxa" w:w="2835"/>
          </w:tcPr>
          <w:p>
            <w:pPr>
              <w:spacing w:after="0"/>
            </w:pPr>
            <w:r>
              <w:rPr>
                <w:b/>
                <w:i w:val="0"/>
              </w:rPr>
              <w:t>KI-Funktionen des Produkts</w:t>
            </w:r>
          </w:p>
        </w:tc>
        <w:tc>
          <w:tcPr>
            <w:tcW w:type="dxa" w:w="6803"/>
          </w:tcPr>
          <w:p>
            <w:pPr>
              <w:spacing w:after="0"/>
            </w:pPr>
          </w:p>
        </w:tc>
      </w:tr>
      <w:tr>
        <w:trPr>
          <w:cantSplit w:val="true"/>
        </w:trPr>
        <w:tc>
          <w:tcPr>
            <w:tcW w:type="dxa" w:w="2835"/>
          </w:tcPr>
          <w:p>
            <w:pPr>
              <w:spacing w:after="0"/>
            </w:pPr>
            <w:r>
              <w:rPr>
                <w:b/>
                <w:i w:val="0"/>
              </w:rPr>
              <w:t>Produktart</w:t>
            </w:r>
          </w:p>
        </w:tc>
        <w:tc>
          <w:tcPr>
            <w:tcW w:type="dxa" w:w="6803"/>
          </w:tcPr>
          <w:p>
            <w:pPr>
              <w:spacing w:after="0"/>
            </w:pPr>
            <w:r>
              <w:rPr>
                <w:b w:val="0"/>
                <w:i w:val="0"/>
              </w:rPr>
              <w:t>☐ Desktop   ☐ Server / On-Premise   ☐ SaaS   ☐ Sonstiges</w:t>
            </w:r>
          </w:p>
        </w:tc>
      </w:tr>
      <w:tr>
        <w:trPr>
          <w:cantSplit w:val="true"/>
        </w:trPr>
        <w:tc>
          <w:tcPr>
            <w:tcW w:type="dxa" w:w="2835"/>
          </w:tcPr>
          <w:p>
            <w:pPr>
              <w:spacing w:after="0"/>
            </w:pPr>
            <w:r>
              <w:rPr>
                <w:b/>
                <w:i w:val="0"/>
              </w:rPr>
              <w:t>Beantragte Stufe</w:t>
            </w:r>
          </w:p>
        </w:tc>
        <w:tc>
          <w:tcPr>
            <w:tcW w:type="dxa" w:w="6803"/>
          </w:tcPr>
          <w:p>
            <w:pPr>
              <w:spacing w:after="0"/>
            </w:pPr>
            <w:r>
              <w:rPr>
                <w:b w:val="0"/>
                <w:i w:val="0"/>
              </w:rPr>
              <w:t>☐ Gold   ☐ Silber S-a   ☐ Silber S-b   ☐ Bronze</w:t>
            </w:r>
          </w:p>
        </w:tc>
      </w:tr>
    </w:tbl>
    <w:p>
      <w:pPr>
        <w:pStyle w:val="Heading1"/>
      </w:pPr>
      <w:r>
        <w:t>Teil B · Modellverzeichnis (C-02)</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1020"/>
        <w:gridCol w:w="1247"/>
        <w:gridCol w:w="1360"/>
        <w:gridCol w:w="2268"/>
        <w:gridCol w:w="1927"/>
      </w:tblGrid>
      <w:tr>
        <w:trPr>
          <w:cantSplit w:val="true"/>
          <w:tblHeader w:val="true"/>
        </w:trPr>
        <w:tc>
          <w:tcPr>
            <w:tcW w:type="dxa" w:w="1814"/>
            <w:shd w:val="clear" w:color="auto" w:fill="EEF2F6"/>
          </w:tcPr>
          <w:p>
            <w:pPr>
              <w:spacing w:after="0"/>
            </w:pPr>
            <w:r>
              <w:rPr>
                <w:b/>
                <w:i w:val="0"/>
                <w:color w:val="586676"/>
                <w:sz w:val="16"/>
              </w:rPr>
              <w:t>Modell</w:t>
            </w:r>
          </w:p>
        </w:tc>
        <w:tc>
          <w:tcPr>
            <w:tcW w:type="dxa" w:w="1020"/>
            <w:shd w:val="clear" w:color="auto" w:fill="EEF2F6"/>
          </w:tcPr>
          <w:p>
            <w:pPr>
              <w:spacing w:after="0"/>
            </w:pPr>
            <w:r>
              <w:rPr>
                <w:b/>
                <w:i w:val="0"/>
                <w:color w:val="586676"/>
                <w:sz w:val="16"/>
              </w:rPr>
              <w:t>Version</w:t>
            </w:r>
          </w:p>
        </w:tc>
        <w:tc>
          <w:tcPr>
            <w:tcW w:type="dxa" w:w="1247"/>
            <w:shd w:val="clear" w:color="auto" w:fill="EEF2F6"/>
          </w:tcPr>
          <w:p>
            <w:pPr>
              <w:spacing w:after="0"/>
            </w:pPr>
            <w:r>
              <w:rPr>
                <w:b/>
                <w:i w:val="0"/>
                <w:color w:val="586676"/>
                <w:sz w:val="16"/>
              </w:rPr>
              <w:t>Lizenz</w:t>
            </w:r>
          </w:p>
        </w:tc>
        <w:tc>
          <w:tcPr>
            <w:tcW w:type="dxa" w:w="1361"/>
            <w:shd w:val="clear" w:color="auto" w:fill="EEF2F6"/>
          </w:tcPr>
          <w:p>
            <w:pPr>
              <w:spacing w:after="0"/>
            </w:pPr>
            <w:r>
              <w:rPr>
                <w:b/>
                <w:i w:val="0"/>
                <w:color w:val="586676"/>
                <w:sz w:val="16"/>
              </w:rPr>
              <w:t>Herkunft</w:t>
            </w:r>
          </w:p>
        </w:tc>
        <w:tc>
          <w:tcPr>
            <w:tcW w:type="dxa" w:w="2268"/>
            <w:shd w:val="clear" w:color="auto" w:fill="EEF2F6"/>
          </w:tcPr>
          <w:p>
            <w:pPr>
              <w:spacing w:after="0"/>
            </w:pPr>
            <w:r>
              <w:rPr>
                <w:b/>
                <w:i w:val="0"/>
                <w:color w:val="586676"/>
                <w:sz w:val="16"/>
              </w:rPr>
              <w:t>Läuft bei (Kunde / Anbieter / Dritt-KI, Land)</w:t>
            </w:r>
          </w:p>
        </w:tc>
        <w:tc>
          <w:tcPr>
            <w:tcW w:type="dxa" w:w="1928"/>
            <w:shd w:val="clear" w:color="auto" w:fill="EEF2F6"/>
          </w:tcPr>
          <w:p>
            <w:pPr>
              <w:spacing w:after="0"/>
            </w:pPr>
            <w:r>
              <w:rPr>
                <w:b/>
                <w:i w:val="0"/>
                <w:color w:val="586676"/>
                <w:sz w:val="16"/>
              </w:rPr>
              <w:t>KI-Funktion</w:t>
            </w: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bl>
    <w:p>
      <w:pPr>
        <w:pStyle w:val="Heading1"/>
      </w:pPr>
      <w:r>
        <w:t>Teil C · Verbindungsliste (C-06)</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608"/>
        <w:gridCol w:w="2154"/>
        <w:gridCol w:w="3175"/>
        <w:gridCol w:w="1701"/>
      </w:tblGrid>
      <w:tr>
        <w:trPr>
          <w:cantSplit w:val="true"/>
          <w:tblHeader w:val="true"/>
        </w:trPr>
        <w:tc>
          <w:tcPr>
            <w:tcW w:type="dxa" w:w="2608"/>
            <w:shd w:val="clear" w:color="auto" w:fill="EEF2F6"/>
          </w:tcPr>
          <w:p>
            <w:pPr>
              <w:spacing w:after="0"/>
            </w:pPr>
            <w:r>
              <w:rPr>
                <w:b/>
                <w:i w:val="0"/>
                <w:color w:val="586676"/>
                <w:sz w:val="16"/>
              </w:rPr>
              <w:t>Ziel (Host, Adresse)</w:t>
            </w:r>
          </w:p>
        </w:tc>
        <w:tc>
          <w:tcPr>
            <w:tcW w:type="dxa" w:w="2154"/>
            <w:shd w:val="clear" w:color="auto" w:fill="EEF2F6"/>
          </w:tcPr>
          <w:p>
            <w:pPr>
              <w:spacing w:after="0"/>
            </w:pPr>
            <w:r>
              <w:rPr>
                <w:b/>
                <w:i w:val="0"/>
                <w:color w:val="586676"/>
                <w:sz w:val="16"/>
              </w:rPr>
              <w:t>Zweck</w:t>
            </w:r>
          </w:p>
        </w:tc>
        <w:tc>
          <w:tcPr>
            <w:tcW w:type="dxa" w:w="3175"/>
            <w:shd w:val="clear" w:color="auto" w:fill="EEF2F6"/>
          </w:tcPr>
          <w:p>
            <w:pPr>
              <w:spacing w:after="0"/>
            </w:pPr>
            <w:r>
              <w:rPr>
                <w:b/>
                <w:i w:val="0"/>
                <w:color w:val="586676"/>
                <w:sz w:val="16"/>
              </w:rPr>
              <w:t>Übertragene Daten</w:t>
            </w:r>
          </w:p>
        </w:tc>
        <w:tc>
          <w:tcPr>
            <w:tcW w:type="dxa" w:w="1701"/>
            <w:shd w:val="clear" w:color="auto" w:fill="EEF2F6"/>
          </w:tcPr>
          <w:p>
            <w:pPr>
              <w:spacing w:after="0"/>
            </w:pPr>
            <w:r>
              <w:rPr>
                <w:b/>
                <w:i w:val="0"/>
                <w:color w:val="586676"/>
                <w:sz w:val="16"/>
              </w:rPr>
              <w:t>Enthält Inhalte?</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ja ☐ nein</w:t>
            </w:r>
          </w:p>
        </w:tc>
      </w:tr>
    </w:tbl>
    <w:p>
      <w:pPr>
        <w:pStyle w:val="Heading1"/>
      </w:pPr>
      <w:r>
        <w:t>Teil D · Kriterien</w:t>
      </w:r>
    </w:p>
    <w:p>
      <w:pPr>
        <w:pStyle w:val="Heading2"/>
      </w:pPr>
      <w:r>
        <w:rPr>
          <w:b w:val="0"/>
          <w:i w:val="0"/>
          <w:color w:val="1C3550"/>
        </w:rPr>
        <w:t>Alle Stufen</w:t>
      </w:r>
    </w:p>
    <w:p>
      <w:pPr>
        <w:pStyle w:val="Heading3"/>
      </w:pPr>
      <w:r>
        <w:rPr>
          <w:b w:val="0"/>
          <w:i w:val="0"/>
          <w:color w:val="1C3550"/>
        </w:rPr>
        <w:t xml:space="preserve">C-01  </w:t>
      </w:r>
      <w:r>
        <w:rPr>
          <w:b w:val="0"/>
          <w:i w:val="0"/>
        </w:rPr>
        <w:t>Offenlegung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Wo erfahren Nutzer, wo die KI-Verarbeitung stattfindet? Bitte Adressen bzw. Bildschirme nennen.</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Adressen (URLs) und Bildschirmfotos der Angaben.</w:t>
            </w:r>
          </w:p>
        </w:tc>
      </w:tr>
    </w:tbl>
    <w:p>
      <w:pPr>
        <w:pStyle w:val="Heading3"/>
      </w:pPr>
      <w:r>
        <w:rPr>
          <w:b w:val="0"/>
          <w:i w:val="0"/>
          <w:color w:val="1C3550"/>
        </w:rPr>
        <w:t xml:space="preserve">C-02  </w:t>
      </w:r>
      <w:r>
        <w:rPr>
          <w:b w:val="0"/>
          <w:i w:val="0"/>
        </w:rPr>
        <w:t>Modellverzeichnis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Welche Modelle setzt das Produkt ein, und wo laufen sie?</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Modellverzeichnis (Tabelle in der Selbstauskunft).</w:t>
            </w:r>
          </w:p>
        </w:tc>
      </w:tr>
    </w:tbl>
    <w:p>
      <w:pPr>
        <w:pStyle w:val="Heading3"/>
      </w:pPr>
      <w:r>
        <w:rPr>
          <w:b w:val="0"/>
          <w:i w:val="0"/>
          <w:color w:val="1C3550"/>
        </w:rPr>
        <w:t xml:space="preserve">C-03  </w:t>
      </w:r>
      <w:r>
        <w:rPr>
          <w:b w:val="0"/>
          <w:i w:val="0"/>
        </w:rPr>
        <w:t>Kein Training mit Kundendaten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Werden Kundeninhalte zum Training verwendet? Wo ist das vertraglich geregelt?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Vertragsbedingungen des Anbieters und, falls eingesetzt, der Dritt-KI; Standardeinstellungen.</w:t>
            </w:r>
          </w:p>
        </w:tc>
      </w:tr>
    </w:tbl>
    <w:p>
      <w:pPr>
        <w:pStyle w:val="Heading3"/>
      </w:pPr>
      <w:r>
        <w:rPr>
          <w:b w:val="0"/>
          <w:i w:val="0"/>
          <w:color w:val="1C3550"/>
        </w:rPr>
        <w:t xml:space="preserve">C-04  </w:t>
      </w:r>
      <w:r>
        <w:rPr>
          <w:b w:val="0"/>
          <w:i w:val="0"/>
        </w:rPr>
        <w:t>Keine Inhalte in Telemetrie und Protokollen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Welche Telemetrie-, Statistik- und Diagnosedaten sendet das Produkt?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aller übermittelten Telemetrie- und Diagnosedaten.</w:t>
            </w:r>
          </w:p>
        </w:tc>
      </w:tr>
    </w:tbl>
    <w:p>
      <w:pPr>
        <w:pStyle w:val="Heading3"/>
      </w:pPr>
      <w:r>
        <w:rPr>
          <w:b w:val="0"/>
          <w:i w:val="0"/>
          <w:color w:val="1C3550"/>
        </w:rPr>
        <w:t xml:space="preserve">C-05  </w:t>
      </w:r>
      <w:r>
        <w:rPr>
          <w:b w:val="0"/>
          <w:i w:val="0"/>
        </w:rPr>
        <w:t>Änderungsmeldung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Wer ist beim Anbieter für Änderungsmeldungen an NOCIP zuständig?</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Unterzeichnete Label-Vereinbarung.</w:t>
            </w:r>
          </w:p>
        </w:tc>
      </w:tr>
    </w:tbl>
    <w:p>
      <w:pPr>
        <w:pStyle w:val="Heading3"/>
      </w:pPr>
      <w:r>
        <w:rPr>
          <w:b w:val="0"/>
          <w:i w:val="0"/>
          <w:color w:val="1C3550"/>
        </w:rPr>
        <w:t xml:space="preserve">C-06  </w:t>
      </w:r>
      <w:r>
        <w:rPr>
          <w:b w:val="0"/>
          <w:i w:val="0"/>
        </w:rPr>
        <w:t>Verbindungsliste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Welche ausgehenden Verbindungen baut das Produkt auf?</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Verbindungsliste (Tabelle in der Selbstauskunft).</w:t>
            </w:r>
          </w:p>
        </w:tc>
      </w:tr>
    </w:tbl>
    <w:p>
      <w:pPr>
        <w:pStyle w:val="Heading3"/>
      </w:pPr>
      <w:r>
        <w:rPr>
          <w:b w:val="0"/>
          <w:i w:val="0"/>
          <w:color w:val="1C3550"/>
        </w:rPr>
        <w:t xml:space="preserve">C-07  </w:t>
      </w:r>
      <w:r>
        <w:rPr>
          <w:b w:val="0"/>
          <w:i w:val="0"/>
        </w:rPr>
        <w:t>Auftragsverarbeitung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Verarbeiten Sie Daten Ihrer Kunden? Wenn ja: Welche Unterauftragsverarbeiter haben Zugang zu KI-Eingaben oder -Ergebnissen?</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Vertragsmuster zur Auftragsverarbeitung, Liste der Unterauftragsverarbeiter.</w:t>
            </w:r>
          </w:p>
        </w:tc>
      </w:tr>
    </w:tbl>
    <w:p>
      <w:pPr>
        <w:pStyle w:val="Heading3"/>
      </w:pPr>
      <w:r>
        <w:rPr>
          <w:b w:val="0"/>
          <w:i w:val="0"/>
          <w:color w:val="1C3550"/>
        </w:rPr>
        <w:t xml:space="preserve">C-08  </w:t>
      </w:r>
      <w:r>
        <w:rPr>
          <w:b w:val="0"/>
          <w:i w:val="0"/>
        </w:rPr>
        <w:t>Vom Nutzer ausgelöste Meldungen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Können Nutzer Beispiele an Sie senden? Wie ersetzt das Produkt vorher personenbezogene Daten, und was sieht der Nutzer vor dem Senden?</w:t>
            </w:r>
          </w:p>
        </w:tc>
      </w:tr>
      <w:tr>
        <w:trPr>
          <w:cantSplit w:val="true"/>
        </w:trPr>
        <w:tc>
          <w:tcPr>
            <w:tcW w:type="dxa" w:w="1814"/>
          </w:tcPr>
          <w:p>
            <w:pPr>
              <w:spacing w:after="0"/>
            </w:pPr>
            <w:r>
              <w:rPr>
                <w:b/>
                <w:i w:val="0"/>
              </w:rPr>
              <w:t>Schwelle</w:t>
            </w:r>
          </w:p>
        </w:tc>
        <w:tc>
          <w:tcPr>
            <w:tcW w:type="dxa" w:w="7824"/>
          </w:tcPr>
          <w:p>
            <w:pPr>
              <w:spacing w:after="0"/>
            </w:pPr>
            <w:r>
              <w:rPr>
                <w:b w:val="0"/>
                <w:i w:val="0"/>
                <w:color w:val="1C3550"/>
              </w:rPr>
              <w:t>Ersetzt werden ≥ 99 % der strukturierten Kennungen (IBAN, E-Mail, Telefon, Ausweis- und Steuernummern), ≥ 98 % der Personennamen und ≥ 95 % aller Prüfwerte – wie B-03.</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der Meldefunktion, Bildschirmfotos der Vorschau, Zweckbestimmung in den Vertragsbedingungen.</w:t>
            </w:r>
          </w:p>
        </w:tc>
      </w:tr>
    </w:tbl>
    <w:p>
      <w:pPr>
        <w:pStyle w:val="Heading2"/>
      </w:pPr>
      <w:r>
        <w:rPr>
          <w:b w:val="0"/>
          <w:i w:val="0"/>
          <w:color w:val="946A12"/>
        </w:rPr>
        <w:t>Gold</w:t>
      </w:r>
    </w:p>
    <w:p>
      <w:pPr>
        <w:pStyle w:val="Heading3"/>
      </w:pPr>
      <w:r>
        <w:rPr>
          <w:b w:val="0"/>
          <w:i w:val="0"/>
          <w:color w:val="946A12"/>
        </w:rPr>
        <w:t xml:space="preserve">G-01  </w:t>
      </w:r>
      <w:r>
        <w:rPr>
          <w:b w:val="0"/>
          <w:i w:val="0"/>
        </w:rPr>
        <w:t>Lokale Inferenz</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Wo laufen die Modelle, und wie kommen sie auf das System des Kunden?</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Architekturbeschreibung; Lage der Modelldateien.</w:t>
            </w:r>
          </w:p>
        </w:tc>
      </w:tr>
    </w:tbl>
    <w:p>
      <w:pPr>
        <w:pStyle w:val="Heading3"/>
      </w:pPr>
      <w:r>
        <w:rPr>
          <w:b w:val="0"/>
          <w:i w:val="0"/>
          <w:color w:val="946A12"/>
        </w:rPr>
        <w:t xml:space="preserve">G-02  </w:t>
      </w:r>
      <w:r>
        <w:rPr>
          <w:b w:val="0"/>
          <w:i w:val="0"/>
        </w:rPr>
        <w:t>Offline-Betrieb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Was funktioniert ohne Internetverbindung, und wie lange?</w:t>
            </w:r>
          </w:p>
        </w:tc>
      </w:tr>
      <w:tr>
        <w:trPr>
          <w:cantSplit w:val="true"/>
        </w:trPr>
        <w:tc>
          <w:tcPr>
            <w:tcW w:type="dxa" w:w="1814"/>
          </w:tcPr>
          <w:p>
            <w:pPr>
              <w:spacing w:after="0"/>
            </w:pPr>
            <w:r>
              <w:rPr>
                <w:b/>
                <w:i w:val="0"/>
              </w:rPr>
              <w:t>Schwelle</w:t>
            </w:r>
          </w:p>
        </w:tc>
        <w:tc>
          <w:tcPr>
            <w:tcW w:type="dxa" w:w="7824"/>
          </w:tcPr>
          <w:p>
            <w:pPr>
              <w:spacing w:after="0"/>
            </w:pPr>
            <w:r>
              <w:rPr>
                <w:b w:val="0"/>
                <w:i w:val="0"/>
                <w:color w:val="946A12"/>
              </w:rPr>
              <w:t>Offline-Weiterbetrieb ≥ 14 Tage.</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von Lizenzprüfung und Aktualisierung.</w:t>
            </w:r>
          </w:p>
        </w:tc>
      </w:tr>
    </w:tbl>
    <w:p>
      <w:pPr>
        <w:pStyle w:val="Heading3"/>
      </w:pPr>
      <w:r>
        <w:rPr>
          <w:b w:val="0"/>
          <w:i w:val="0"/>
          <w:color w:val="946A12"/>
        </w:rPr>
        <w:t xml:space="preserve">G-03  </w:t>
      </w:r>
      <w:r>
        <w:rPr>
          <w:b w:val="0"/>
          <w:i w:val="0"/>
        </w:rPr>
        <w:t>Nachprüfbare Modelle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Wie können Kunden prüfen, dass ein Modell unverändert ist?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Ort der Prüfsummen bzw. Signaturen.</w:t>
            </w:r>
          </w:p>
        </w:tc>
      </w:tr>
    </w:tbl>
    <w:p>
      <w:pPr>
        <w:pStyle w:val="Heading2"/>
      </w:pPr>
      <w:r>
        <w:rPr>
          <w:b w:val="0"/>
          <w:i w:val="0"/>
          <w:color w:val="5F6B78"/>
        </w:rPr>
        <w:t>Silber</w:t>
      </w:r>
    </w:p>
    <w:p>
      <w:pPr>
        <w:pStyle w:val="Heading3"/>
      </w:pPr>
      <w:r>
        <w:rPr>
          <w:b w:val="0"/>
          <w:i w:val="0"/>
          <w:color w:val="5F6B78"/>
        </w:rPr>
        <w:t xml:space="preserve">S-01  </w:t>
      </w:r>
      <w:r>
        <w:rPr>
          <w:b w:val="0"/>
          <w:i w:val="0"/>
        </w:rPr>
        <w:t>Vom Anbieter betriebene KI</w:t>
      </w:r>
      <w:r>
        <w:rPr>
          <w:b w:val="0"/>
          <w:i w:val="0"/>
          <w:color w:val="586676"/>
        </w:rPr>
        <w:t xml:space="preserve">  (Variante S-a)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Auf welcher Infrastruktur laufen Ihre Modelle, wer betreibt sie, und wo steht sie?</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Architekturbeschreibung, Hosting-Verträge, Standorte.</w:t>
            </w:r>
          </w:p>
        </w:tc>
      </w:tr>
    </w:tbl>
    <w:p>
      <w:pPr>
        <w:pStyle w:val="Heading3"/>
      </w:pPr>
      <w:r>
        <w:rPr>
          <w:b w:val="0"/>
          <w:i w:val="0"/>
          <w:color w:val="5F6B78"/>
        </w:rPr>
        <w:t xml:space="preserve">S-02  </w:t>
      </w:r>
      <w:r>
        <w:rPr>
          <w:b w:val="0"/>
          <w:i w:val="0"/>
        </w:rPr>
        <w:t>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Wie entscheidet Ihr Produkt, welche Anfragen an eine Dritt-KI gehen dürfen?</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der Weiche (Verfahren, Ort, Kategorien).</w:t>
            </w:r>
          </w:p>
        </w:tc>
      </w:tr>
    </w:tbl>
    <w:p>
      <w:pPr>
        <w:pStyle w:val="Heading3"/>
      </w:pPr>
      <w:r>
        <w:rPr>
          <w:b w:val="0"/>
          <w:i w:val="0"/>
          <w:color w:val="5F6B78"/>
        </w:rPr>
        <w:t xml:space="preserve">S-03  </w:t>
      </w:r>
      <w:r>
        <w:rPr>
          <w:b w:val="0"/>
          <w:i w:val="0"/>
        </w:rPr>
        <w:t>Trefferquote der 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Haben Sie die Weiche gemessen? Mit welchem Ergebnis?</w:t>
            </w:r>
          </w:p>
        </w:tc>
      </w:tr>
      <w:tr>
        <w:trPr>
          <w:cantSplit w:val="true"/>
        </w:trPr>
        <w:tc>
          <w:tcPr>
            <w:tcW w:type="dxa" w:w="1814"/>
          </w:tcPr>
          <w:p>
            <w:pPr>
              <w:spacing w:after="0"/>
            </w:pPr>
            <w:r>
              <w:rPr>
                <w:b/>
                <w:i w:val="0"/>
              </w:rPr>
              <w:t>Schwelle</w:t>
            </w:r>
          </w:p>
        </w:tc>
        <w:tc>
          <w:tcPr>
            <w:tcW w:type="dxa" w:w="7824"/>
          </w:tcPr>
          <w:p>
            <w:pPr>
              <w:spacing w:after="0"/>
            </w:pPr>
            <w:r>
              <w:rPr>
                <w:b w:val="0"/>
                <w:i w:val="0"/>
                <w:color w:val="5F6B78"/>
              </w:rPr>
              <w:t>Von den Testanfragen mit personenbezogenen Daten erreichen höchstens 0,5 % die Dritt-KI (≥ 99,5 % zurückgehalten); bei Anfragen mit strukturierten Kennungen (IBAN, E-Mail, Telefon, Ausweis- und Steuernummern) höchstens 0,1 % (≥ 99,9 %).</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Eigene Messwerte des Anbieters (freiwillig).</w:t>
            </w:r>
          </w:p>
        </w:tc>
      </w:tr>
    </w:tbl>
    <w:p>
      <w:pPr>
        <w:pStyle w:val="Heading3"/>
      </w:pPr>
      <w:r>
        <w:rPr>
          <w:b w:val="0"/>
          <w:i w:val="0"/>
          <w:color w:val="5F6B78"/>
        </w:rPr>
        <w:t xml:space="preserve">S-04  </w:t>
      </w:r>
      <w:r>
        <w:rPr>
          <w:b w:val="0"/>
          <w:i w:val="0"/>
        </w:rPr>
        <w:t>Sicherer Ausfall der 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Was geschieht, wenn die Weiche ausfällt?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des Fehlerverhaltens.</w:t>
            </w:r>
          </w:p>
        </w:tc>
      </w:tr>
    </w:tbl>
    <w:p>
      <w:pPr>
        <w:pStyle w:val="Heading2"/>
      </w:pPr>
      <w:r>
        <w:rPr>
          <w:b w:val="0"/>
          <w:i w:val="0"/>
          <w:color w:val="8E4F1E"/>
        </w:rPr>
        <w:t>Bronze</w:t>
      </w:r>
    </w:p>
    <w:p>
      <w:pPr>
        <w:pStyle w:val="Heading3"/>
      </w:pPr>
      <w:r>
        <w:rPr>
          <w:b w:val="0"/>
          <w:i w:val="0"/>
          <w:color w:val="8E4F1E"/>
        </w:rPr>
        <w:t xml:space="preserve">B-01  </w:t>
      </w:r>
      <w:r>
        <w:rPr>
          <w:b w:val="0"/>
          <w:i w:val="0"/>
        </w:rPr>
        <w:t>Pseudonymisierung vor der Übermittlung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Wo und womit pseudonymisiert Ihr Produkt?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Architekturbeschreibung des Pseudonymisierungsschritts.</w:t>
            </w:r>
          </w:p>
        </w:tc>
      </w:tr>
    </w:tbl>
    <w:p>
      <w:pPr>
        <w:pStyle w:val="Heading3"/>
      </w:pPr>
      <w:r>
        <w:rPr>
          <w:b w:val="0"/>
          <w:i w:val="0"/>
          <w:color w:val="8E4F1E"/>
        </w:rPr>
        <w:t xml:space="preserve">B-02  </w:t>
      </w:r>
      <w:r>
        <w:rPr>
          <w:b w:val="0"/>
          <w:i w:val="0"/>
        </w:rPr>
        <w:t>Erfasste Kategorien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Welche Kategorien personenbezogener Daten erkennt Ihr Produkt?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Liste der erfassten Kategorien.</w:t>
            </w:r>
          </w:p>
        </w:tc>
      </w:tr>
    </w:tbl>
    <w:p>
      <w:pPr>
        <w:pStyle w:val="Heading3"/>
      </w:pPr>
      <w:r>
        <w:rPr>
          <w:b w:val="0"/>
          <w:i w:val="0"/>
          <w:color w:val="8E4F1E"/>
        </w:rPr>
        <w:t xml:space="preserve">B-03  </w:t>
      </w:r>
      <w:r>
        <w:rPr>
          <w:b w:val="0"/>
          <w:i w:val="0"/>
        </w:rPr>
        <w:t>Erkennungsquote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Haben Sie die Erkennung gemessen? Mit welchem Ergebnis?</w:t>
            </w:r>
          </w:p>
        </w:tc>
      </w:tr>
      <w:tr>
        <w:trPr>
          <w:cantSplit w:val="true"/>
        </w:trPr>
        <w:tc>
          <w:tcPr>
            <w:tcW w:type="dxa" w:w="1814"/>
          </w:tcPr>
          <w:p>
            <w:pPr>
              <w:spacing w:after="0"/>
            </w:pPr>
            <w:r>
              <w:rPr>
                <w:b/>
                <w:i w:val="0"/>
              </w:rPr>
              <w:t>Schwelle</w:t>
            </w:r>
          </w:p>
        </w:tc>
        <w:tc>
          <w:tcPr>
            <w:tcW w:type="dxa" w:w="7824"/>
          </w:tcPr>
          <w:p>
            <w:pPr>
              <w:spacing w:after="0"/>
            </w:pPr>
            <w:r>
              <w:rPr>
                <w:b w:val="0"/>
                <w:i w:val="0"/>
                <w:color w:val="8E4F1E"/>
              </w:rPr>
              <w:t>Entfernt werden ≥ 99 % der strukturierten Kennungen (IBAN, E-Mail, Telefon, Ausweis- und Steuernummern), ≥ 98 % der Personennamen und ≥ 95 % aller Prüfwerte insgesamt.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Eigene Messwerte des Anbieters (freiwillig).</w:t>
            </w:r>
          </w:p>
        </w:tc>
      </w:tr>
    </w:tbl>
    <w:p>
      <w:pPr>
        <w:pStyle w:val="Heading3"/>
      </w:pPr>
      <w:r>
        <w:rPr>
          <w:b w:val="0"/>
          <w:i w:val="0"/>
          <w:color w:val="8E4F1E"/>
        </w:rPr>
        <w:t xml:space="preserve">B-04  </w:t>
      </w:r>
      <w:r>
        <w:rPr>
          <w:b w:val="0"/>
          <w:i w:val="0"/>
        </w:rPr>
        <w:t>Zuordnungstabelle bleibt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Wo liegt die Zuordnungstabelle, und wann wird sie gelöscht?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wo die Zuordnungstabelle gespeichert und wann sie gelöscht wird.</w:t>
            </w:r>
          </w:p>
        </w:tc>
      </w:tr>
    </w:tbl>
    <w:p>
      <w:pPr>
        <w:pStyle w:val="Heading3"/>
      </w:pPr>
      <w:r>
        <w:rPr>
          <w:b w:val="0"/>
          <w:i w:val="0"/>
          <w:color w:val="8E4F1E"/>
        </w:rPr>
        <w:t xml:space="preserve">B-05  </w:t>
      </w:r>
      <w:r>
        <w:rPr>
          <w:b w:val="0"/>
          <w:i w:val="0"/>
        </w:rPr>
        <w:t>Sicherer Ausfall der Pseudonymisierung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Was geschieht, wenn die Pseudonymisierung ausfällt?</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Beschreibung des Fehlerverhaltens.</w:t>
            </w:r>
          </w:p>
        </w:tc>
      </w:tr>
    </w:tbl>
    <w:p>
      <w:pPr>
        <w:pStyle w:val="Heading3"/>
      </w:pPr>
      <w:r>
        <w:rPr>
          <w:b w:val="0"/>
          <w:i w:val="0"/>
          <w:color w:val="8E4F1E"/>
        </w:rPr>
        <w:t xml:space="preserve">B-06  </w:t>
      </w:r>
      <w:r>
        <w:rPr>
          <w:b w:val="0"/>
          <w:i w:val="0"/>
        </w:rPr>
        <w:t>Einsicht für Nutzer</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Wie sehen Nutzer, was an die Dritt-KI gesendet wird?</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Bildschirmfotos der Vorschau bzw. des Protokolls.</w:t>
            </w:r>
          </w:p>
        </w:tc>
      </w:tr>
    </w:tbl>
    <w:p>
      <w:pPr>
        <w:pStyle w:val="Heading3"/>
      </w:pPr>
      <w:r>
        <w:rPr>
          <w:b w:val="0"/>
          <w:i w:val="0"/>
          <w:color w:val="8E4F1E"/>
        </w:rPr>
        <w:t xml:space="preserve">B-07  </w:t>
      </w:r>
      <w:r>
        <w:rPr>
          <w:b w:val="0"/>
          <w:i w:val="0"/>
        </w:rPr>
        <w:t>Vertrag mit der Dritt-KI</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Welche Dritt-KI nutzen Sie, in welcher Region, und wie lange speichert sie Anfragen?</w:t>
            </w:r>
          </w:p>
        </w:tc>
      </w:tr>
      <w:tr>
        <w:trPr>
          <w:cantSplit w:val="true"/>
        </w:trPr>
        <w:tc>
          <w:tcPr>
            <w:tcW w:type="dxa" w:w="1814"/>
          </w:tcPr>
          <w:p>
            <w:pPr>
              <w:spacing w:after="0"/>
            </w:pPr>
            <w:r>
              <w:rPr>
                <w:b/>
                <w:i w:val="0"/>
              </w:rPr>
              <w:t>Schwelle</w:t>
            </w:r>
          </w:p>
        </w:tc>
        <w:tc>
          <w:tcPr>
            <w:tcW w:type="dxa" w:w="7824"/>
          </w:tcPr>
          <w:p>
            <w:pPr>
              <w:spacing w:after="0"/>
            </w:pPr>
            <w:r>
              <w:rPr>
                <w:b w:val="0"/>
                <w:i w:val="0"/>
                <w:color w:val="8E4F1E"/>
              </w:rPr>
              <w:t>Speicherung ≤ 30 Tage.</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Vertrag bzw. Vertragsbedingungen der Dritt-KI, gewählte Region.</w:t>
            </w:r>
          </w:p>
        </w:tc>
      </w:tr>
    </w:tbl>
    <w:p>
      <w:pPr>
        <w:pStyle w:val="Heading3"/>
      </w:pPr>
      <w:r>
        <w:rPr>
          <w:b w:val="0"/>
          <w:i w:val="0"/>
          <w:color w:val="8E4F1E"/>
        </w:rPr>
        <w:t xml:space="preserve">B-08  </w:t>
      </w:r>
      <w:r>
        <w:rPr>
          <w:b w:val="0"/>
          <w:i w:val="0"/>
        </w:rPr>
        <w:t>Richtige Bezeichnung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Frage</w:t>
            </w:r>
          </w:p>
        </w:tc>
        <w:tc>
          <w:tcPr>
            <w:tcW w:type="dxa" w:w="7824"/>
          </w:tcPr>
          <w:p>
            <w:pPr>
              <w:spacing w:after="0"/>
            </w:pPr>
            <w:r>
              <w:rPr>
                <w:b w:val="0"/>
                <w:i w:val="0"/>
              </w:rPr>
              <w:t>Wie beschreiben Sie die Pseudonymisierung gegenüber Kunden?</w:t>
            </w:r>
          </w:p>
        </w:tc>
      </w:tr>
      <w:tr>
        <w:trPr>
          <w:cantSplit w:val="true"/>
        </w:trPr>
        <w:tc>
          <w:tcPr>
            <w:tcW w:type="dxa" w:w="1814"/>
          </w:tcPr>
          <w:p>
            <w:pPr>
              <w:spacing w:after="0"/>
            </w:pPr>
            <w:r>
              <w:rPr>
                <w:b/>
                <w:i w:val="0"/>
              </w:rPr>
              <w:t>Erfüllt</w:t>
            </w:r>
          </w:p>
        </w:tc>
        <w:tc>
          <w:tcPr>
            <w:tcW w:type="dxa" w:w="7824"/>
          </w:tcPr>
          <w:p>
            <w:pPr>
              <w:spacing w:after="0"/>
            </w:pPr>
            <w:r>
              <w:rPr>
                <w:b w:val="0"/>
                <w:i w:val="0"/>
              </w:rPr>
              <w:t>☐ ja   ☐ nein   ☐ entfällt</w:t>
            </w:r>
          </w:p>
        </w:tc>
      </w:tr>
      <w:tr>
        <w:trPr>
          <w:cantSplit w:val="true"/>
          <w:trHeight w:val="1247"/>
        </w:trPr>
        <w:tc>
          <w:tcPr>
            <w:tcW w:type="dxa" w:w="1814"/>
          </w:tcPr>
          <w:p>
            <w:pPr>
              <w:spacing w:after="0"/>
            </w:pPr>
            <w:r>
              <w:rPr>
                <w:b/>
                <w:i w:val="0"/>
              </w:rPr>
              <w:t>Antwort</w:t>
            </w:r>
          </w:p>
        </w:tc>
        <w:tc>
          <w:tcPr>
            <w:tcW w:type="dxa" w:w="7824"/>
          </w:tcPr>
          <w:p>
            <w:pPr>
              <w:spacing w:after="0"/>
            </w:pPr>
          </w:p>
        </w:tc>
      </w:tr>
      <w:tr>
        <w:trPr>
          <w:cantSplit w:val="true"/>
          <w:trHeight w:val="680"/>
        </w:trPr>
        <w:tc>
          <w:tcPr>
            <w:tcW w:type="dxa" w:w="1814"/>
          </w:tcPr>
          <w:p>
            <w:pPr>
              <w:spacing w:after="0"/>
            </w:pPr>
            <w:r>
              <w:rPr>
                <w:b/>
                <w:i w:val="0"/>
              </w:rPr>
              <w:t>Nachweise (Dateien, Adressen)</w:t>
            </w:r>
          </w:p>
        </w:tc>
        <w:tc>
          <w:tcPr>
            <w:tcW w:type="dxa" w:w="7824"/>
          </w:tcPr>
          <w:p>
            <w:pPr>
              <w:spacing w:after="0"/>
            </w:pPr>
            <w:r>
              <w:rPr>
                <w:b w:val="0"/>
                <w:i w:val="0"/>
                <w:color w:val="586676"/>
              </w:rPr>
              <w:t>Adressen der Produkt- und Werbetexte.</w:t>
            </w:r>
          </w:p>
        </w:tc>
      </w:tr>
    </w:tbl>
    <w:p>
      <w:pPr>
        <w:pStyle w:val="Heading1"/>
      </w:pPr>
      <w:r>
        <w:t>Teil E · NOCIP-Index (Selbsteinschätzung)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4195"/>
        <w:gridCol w:w="1474"/>
        <w:gridCol w:w="2154"/>
      </w:tblGrid>
      <w:tr>
        <w:trPr>
          <w:cantSplit w:val="true"/>
          <w:tblHeader w:val="true"/>
        </w:trPr>
        <w:tc>
          <w:tcPr>
            <w:tcW w:type="dxa" w:w="1814"/>
            <w:shd w:val="clear" w:color="auto" w:fill="EEF2F6"/>
          </w:tcPr>
          <w:p>
            <w:pPr>
              <w:spacing w:after="0"/>
            </w:pPr>
            <w:r>
              <w:rPr>
                <w:b/>
                <w:i w:val="0"/>
                <w:color w:val="586676"/>
                <w:sz w:val="16"/>
              </w:rPr>
              <w:t>Gruppe</w:t>
            </w:r>
          </w:p>
        </w:tc>
        <w:tc>
          <w:tcPr>
            <w:tcW w:type="dxa" w:w="4195"/>
            <w:shd w:val="clear" w:color="auto" w:fill="EEF2F6"/>
          </w:tcPr>
          <w:p>
            <w:pPr>
              <w:spacing w:after="0"/>
            </w:pPr>
            <w:r>
              <w:rPr>
                <w:b/>
                <w:i w:val="0"/>
                <w:color w:val="586676"/>
                <w:sz w:val="16"/>
              </w:rPr>
              <w:t>1 Punkt / 2 Punkte</w:t>
            </w:r>
          </w:p>
        </w:tc>
        <w:tc>
          <w:tcPr>
            <w:tcW w:type="dxa" w:w="1474"/>
            <w:shd w:val="clear" w:color="auto" w:fill="EEF2F6"/>
          </w:tcPr>
          <w:p>
            <w:pPr>
              <w:spacing w:after="0"/>
            </w:pPr>
            <w:r>
              <w:rPr>
                <w:b/>
                <w:i w:val="0"/>
                <w:color w:val="586676"/>
                <w:sz w:val="16"/>
              </w:rPr>
              <w:t>Anspruch</w:t>
            </w:r>
          </w:p>
        </w:tc>
        <w:tc>
          <w:tcPr>
            <w:tcW w:type="dxa" w:w="2154"/>
            <w:shd w:val="clear" w:color="auto" w:fill="EEF2F6"/>
          </w:tcPr>
          <w:p>
            <w:pPr>
              <w:spacing w:after="0"/>
            </w:pPr>
            <w:r>
              <w:rPr>
                <w:b/>
                <w:i w:val="0"/>
                <w:color w:val="586676"/>
                <w:sz w:val="16"/>
              </w:rPr>
              <w:t>Nachweis</w:t>
            </w:r>
          </w:p>
        </w:tc>
      </w:tr>
      <w:tr>
        <w:trPr>
          <w:cantSplit w:val="true"/>
        </w:trPr>
        <w:tc>
          <w:tcPr>
            <w:tcW w:type="dxa" w:w="1814"/>
          </w:tcPr>
          <w:p>
            <w:pPr>
              <w:spacing w:after="0"/>
            </w:pPr>
            <w:r>
              <w:rPr>
                <w:b/>
                <w:i w:val="0"/>
              </w:rPr>
              <w:t>I-1 Transparenz</w:t>
            </w:r>
          </w:p>
        </w:tc>
        <w:tc>
          <w:tcPr>
            <w:tcW w:type="dxa" w:w="4195"/>
          </w:tcPr>
          <w:p>
            <w:pPr>
              <w:spacing w:after="40"/>
            </w:pPr>
            <w:r>
              <w:rPr>
                <w:b w:val="0"/>
                <w:i w:val="0"/>
              </w:rPr>
              <w:t>1: Ein Datenflussbild ist veröffentlicht, das für jede KI-Funktion den Verarbeitungsort zeigt.</w:t>
            </w:r>
          </w:p>
          <w:p>
            <w:pPr>
              <w:spacing w:after="40"/>
            </w:pPr>
            <w:r>
              <w:rPr>
                <w:b w:val="0"/>
                <w:i w:val="0"/>
              </w:rPr>
              <w:t>2: Zusätzlich zeigt das Produkt bei jeder KI-Funktion bzw. Anfrage, wo sie verarbeitet wird.</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I-2 Kontrolle durch den Kunden</w:t>
            </w:r>
          </w:p>
        </w:tc>
        <w:tc>
          <w:tcPr>
            <w:tcW w:type="dxa" w:w="4195"/>
          </w:tcPr>
          <w:p>
            <w:pPr>
              <w:spacing w:after="40"/>
            </w:pPr>
            <w:r>
              <w:rPr>
                <w:b w:val="0"/>
                <w:i w:val="0"/>
              </w:rPr>
              <w:t>1: Der Kunde kann jede externe KI-Verbindung abschalten; das Produkt arbeitet dann mit eingeschränkten Funktionen weiter. (Gold: erfüllt.)</w:t>
            </w:r>
          </w:p>
          <w:p>
            <w:pPr>
              <w:spacing w:after="40"/>
            </w:pPr>
            <w:r>
              <w:rPr>
                <w:b w:val="0"/>
                <w:i w:val="0"/>
              </w:rPr>
              <w:t>2: Zusätzlich gibt es für alle KI-Funktionen eine Variante, die vollständig beim Kunden läuft. (Gold: erfüllt.)</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I-3 Datensparsamkeit</w:t>
            </w:r>
          </w:p>
        </w:tc>
        <w:tc>
          <w:tcPr>
            <w:tcW w:type="dxa" w:w="4195"/>
          </w:tcPr>
          <w:p>
            <w:pPr>
              <w:spacing w:after="40"/>
            </w:pPr>
            <w:r>
              <w:rPr>
                <w:b w:val="0"/>
                <w:i w:val="0"/>
              </w:rPr>
              <w:t>1: KI-Eingaben und -Ergebnisse werden außerhalb des Kunden höchstens 30 Tage gespeichert. (Gold: erfüllt.)</w:t>
            </w:r>
          </w:p>
          <w:p>
            <w:pPr>
              <w:spacing w:after="40"/>
            </w:pPr>
            <w:r>
              <w:rPr>
                <w:b w:val="0"/>
                <w:i w:val="0"/>
              </w:rPr>
              <w:t>2: Zusätzlich keine Speicherung außerhalb des Kunden über die Verarbeitung hinaus, und lokale Protokolle enthalten Inhalte nur, wenn der Kunde das einschaltet.</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I-4 Integrität</w:t>
            </w:r>
          </w:p>
        </w:tc>
        <w:tc>
          <w:tcPr>
            <w:tcW w:type="dxa" w:w="4195"/>
          </w:tcPr>
          <w:p>
            <w:pPr>
              <w:spacing w:after="40"/>
            </w:pPr>
            <w:r>
              <w:rPr>
                <w:b w:val="0"/>
                <w:i w:val="0"/>
              </w:rPr>
              <w:t>1: Das Produkt prüft Signatur oder Prüfsumme jedes Modells vor dem Laden.</w:t>
            </w:r>
          </w:p>
          <w:p>
            <w:pPr>
              <w:spacing w:after="40"/>
            </w:pPr>
            <w:r>
              <w:rPr>
                <w:b w:val="0"/>
                <w:i w:val="0"/>
              </w:rPr>
              <w:t>2: Zusätzlich sind lokale Speicher mit Inhalten oder Zuordnungstabellen verschlüsselt (oder die Einrichtung mit Betriebssystem-Verschlüsselung ist dokumentiert).</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I-5 Nachprüfbarkeit</w:t>
            </w:r>
          </w:p>
        </w:tc>
        <w:tc>
          <w:tcPr>
            <w:tcW w:type="dxa" w:w="4195"/>
          </w:tcPr>
          <w:p>
            <w:pPr>
              <w:spacing w:after="40"/>
            </w:pPr>
            <w:r>
              <w:rPr>
                <w:b w:val="0"/>
                <w:i w:val="0"/>
              </w:rPr>
              <w:t>1: Der Kunde kann ein Protokoll aller externen KI-Anfragen einsehen (Gold: aller ausgehenden Verbindungen).</w:t>
            </w:r>
          </w:p>
          <w:p>
            <w:pPr>
              <w:spacing w:after="40"/>
            </w:pPr>
            <w:r>
              <w:rPr>
                <w:b w:val="0"/>
                <w:i w:val="0"/>
              </w:rPr>
              <w:t>2: Zusätzlich stellt der Anbieter NOCIP dauerhaft einen Testzugang bzw. eine Testinstallation für unangekündigte Stichproben bereit.</w:t>
            </w:r>
          </w:p>
        </w:tc>
        <w:tc>
          <w:tcPr>
            <w:tcW w:type="dxa" w:w="1474"/>
          </w:tcPr>
          <w:p>
            <w:pPr>
              <w:spacing w:after="0"/>
            </w:pPr>
            <w:r>
              <w:rPr>
                <w:b w:val="0"/>
                <w:i w:val="0"/>
              </w:rPr>
              <w:t>☐ 0  ☐ 1  ☐ 2</w:t>
            </w:r>
          </w:p>
        </w:tc>
        <w:tc>
          <w:tcPr>
            <w:tcW w:type="dxa" w:w="2154"/>
          </w:tcPr>
          <w:p>
            <w:pPr>
              <w:spacing w:after="0"/>
            </w:pPr>
          </w:p>
        </w:tc>
      </w:tr>
    </w:tbl>
    <w:p>
      <w:pPr>
        <w:pStyle w:val="Heading1"/>
      </w:pPr>
      <w:r>
        <w:t>Teil F · Erklärung</w:t>
      </w:r>
    </w:p>
    <w:p>
      <w:r>
        <w:rPr>
          <w:b w:val="0"/>
          <w:i w:val="0"/>
        </w:rPr>
        <w:t>Wir versichern, dass die Angaben in dieser Selbstauskunft vollständig und richtig sind. Wir stellen NOCIP für die Prüfung eine Testinstallation bzw. einen Testzugang zur Verfügung und melden Änderungen der KI-Architektur nach Kriterium C-05.</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835"/>
        <w:gridCol w:w="6804"/>
      </w:tblGrid>
      <w:tr>
        <w:trPr>
          <w:cantSplit w:val="true"/>
          <w:trHeight w:val="624"/>
        </w:trPr>
        <w:tc>
          <w:tcPr>
            <w:tcW w:type="dxa" w:w="2835"/>
          </w:tcPr>
          <w:p>
            <w:pPr>
              <w:spacing w:after="0"/>
            </w:pPr>
            <w:r>
              <w:rPr>
                <w:b/>
                <w:i w:val="0"/>
              </w:rPr>
              <w:t>Ort, Datum</w:t>
            </w:r>
          </w:p>
        </w:tc>
        <w:tc>
          <w:tcPr>
            <w:tcW w:type="dxa" w:w="6803"/>
          </w:tcPr>
          <w:p>
            <w:pPr>
              <w:spacing w:after="0"/>
            </w:pPr>
          </w:p>
        </w:tc>
      </w:tr>
      <w:tr>
        <w:trPr>
          <w:cantSplit w:val="true"/>
          <w:trHeight w:val="624"/>
        </w:trPr>
        <w:tc>
          <w:tcPr>
            <w:tcW w:type="dxa" w:w="2835"/>
          </w:tcPr>
          <w:p>
            <w:pPr>
              <w:spacing w:after="0"/>
            </w:pPr>
            <w:r>
              <w:rPr>
                <w:b/>
                <w:i w:val="0"/>
              </w:rPr>
              <w:t>Name, Funktion</w:t>
            </w:r>
          </w:p>
        </w:tc>
        <w:tc>
          <w:tcPr>
            <w:tcW w:type="dxa" w:w="6803"/>
          </w:tcPr>
          <w:p>
            <w:pPr>
              <w:spacing w:after="0"/>
            </w:pPr>
          </w:p>
        </w:tc>
      </w:tr>
      <w:tr>
        <w:trPr>
          <w:cantSplit w:val="true"/>
          <w:trHeight w:val="624"/>
        </w:trPr>
        <w:tc>
          <w:tcPr>
            <w:tcW w:type="dxa" w:w="2835"/>
          </w:tcPr>
          <w:p>
            <w:pPr>
              <w:spacing w:after="0"/>
            </w:pPr>
            <w:r>
              <w:rPr>
                <w:b/>
                <w:i w:val="0"/>
              </w:rPr>
              <w:t>Unterschrift</w:t>
            </w:r>
          </w:p>
        </w:tc>
        <w:tc>
          <w:tcPr>
            <w:tcW w:type="dxa" w:w="6803"/>
          </w:tcPr>
          <w:p>
            <w:pPr>
              <w:spacing w:after="0"/>
            </w:pPr>
          </w:p>
        </w:tc>
      </w:tr>
    </w:tbl>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Seite </w:t>
    </w:r>
    <w:r>
      <w:rPr>
        <w:color w:val="586676"/>
        <w:sz w:val="16"/>
      </w:rPr>
      <w:fldChar w:fldCharType="begin"/>
      <w:instrText xml:space="preserve"> PAGE </w:instrText>
      <w:fldChar w:fldCharType="separate"/>
      <w:t>1</w:t>
      <w:fldChar w:fldCharType="end"/>
    </w:r>
    <w:r>
      <w:rPr>
        <w:b w:val="0"/>
        <w:i w:val="0"/>
        <w:color w:val="586676"/>
        <w:sz w:val="16"/>
      </w:rPr>
      <w:t xml:space="preserve"> von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Selbstauskunft</w:t>
    </w:r>
    <w:r>
      <w:rPr>
        <w:b w:val="0"/>
        <w:i w:val="0"/>
        <w:color w:val="586676"/>
        <w:sz w:val="16"/>
      </w:rPr>
      <w:tab/>
      <w:t>Version 1.0 · Entwurf · 29.10.2026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