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drawing>
          <wp:inline xmlns:a="http://schemas.openxmlformats.org/drawingml/2006/main" xmlns:pic="http://schemas.openxmlformats.org/drawingml/2006/picture">
            <wp:extent cx="1512000" cy="597240"/>
            <wp:docPr id="1" name="Picture 1"/>
            <wp:cNvGraphicFramePr>
              <a:graphicFrameLocks noChangeAspect="1"/>
            </wp:cNvGraphicFramePr>
            <a:graphic>
              <a:graphicData uri="http://schemas.openxmlformats.org/drawingml/2006/picture">
                <pic:pic>
                  <pic:nvPicPr>
                    <pic:cNvPr id="0" name="nocip-wordmark.png"/>
                    <pic:cNvPicPr/>
                  </pic:nvPicPr>
                  <pic:blipFill>
                    <a:blip r:embed="rId11"/>
                    <a:stretch>
                      <a:fillRect/>
                    </a:stretch>
                  </pic:blipFill>
                  <pic:spPr>
                    <a:xfrm>
                      <a:off x="0" y="0"/>
                      <a:ext cx="1512000" cy="597240"/>
                    </a:xfrm>
                    <a:prstGeom prst="rect"/>
                  </pic:spPr>
                </pic:pic>
              </a:graphicData>
            </a:graphic>
          </wp:inline>
        </w:drawing>
      </w:r>
    </w:p>
    <w:p>
      <w:pPr>
        <w:spacing w:after="560"/>
      </w:pPr>
      <w:r>
        <w:rPr>
          <w:b w:val="0"/>
          <w:i w:val="0"/>
          <w:color w:val="586676"/>
          <w:sz w:val="18"/>
        </w:rPr>
        <w:t>Keine Cloud-Inferenz mit personenbezogenen Daten</w:t>
      </w:r>
    </w:p>
    <w:p>
      <w:pPr>
        <w:pStyle w:val="Title"/>
        <w:spacing w:after="120"/>
      </w:pPr>
      <w:r>
        <w:rPr>
          <w:b w:val="0"/>
          <w:i w:val="0"/>
        </w:rPr>
        <w:t>Leitfaden für Antragsteller</w:t>
      </w:r>
    </w:p>
    <w:p>
      <w:pPr>
        <w:spacing w:after="120"/>
      </w:pPr>
      <w:r>
        <w:rPr>
          <w:b w:val="0"/>
          <w:i w:val="0"/>
          <w:color w:val="586676"/>
          <w:sz w:val="22"/>
        </w:rPr>
        <w:t>Wie Sie das NOCIP-Label für Ihr Produkt erhalten</w:t>
      </w:r>
    </w:p>
    <w:p>
      <w:pPr>
        <w:spacing w:after="360"/>
      </w:pPr>
      <w:r>
        <w:rPr>
          <w:b w:val="0"/>
          <w:i w:val="0"/>
          <w:color w:val="586676"/>
          <w:sz w:val="18"/>
        </w:rPr>
        <w:t>Version 1.0 · 29.10.2026 · Entwurf – noch nicht freigegeben</w:t>
      </w:r>
    </w:p>
    <w:tbl>
      <w:tblPr>
        <w:tblW w:type="auto" w:w="0"/>
        <w:tblLook w:firstColumn="1" w:firstRow="1" w:lastColumn="0" w:lastRow="0" w:noHBand="0" w:noVBand="1" w:val="04A0"/>
      </w:tblPr>
      <w:tblGrid>
        <w:gridCol w:w="3213"/>
        <w:gridCol w:w="3213"/>
        <w:gridCol w:w="3213"/>
      </w:tblGrid>
      <w:tr>
        <w:tc>
          <w:tcPr>
            <w:tcW w:type="dxa" w:w="2268"/>
          </w:tcPr>
          <w:p>
            <w:r>
              <w:drawing>
                <wp:inline xmlns:a="http://schemas.openxmlformats.org/drawingml/2006/main" xmlns:pic="http://schemas.openxmlformats.org/drawingml/2006/picture">
                  <wp:extent cx="1188000" cy="1188000"/>
                  <wp:docPr id="2" name="Picture 2"/>
                  <wp:cNvGraphicFramePr>
                    <a:graphicFrameLocks noChangeAspect="1"/>
                  </wp:cNvGraphicFramePr>
                  <a:graphic>
                    <a:graphicData uri="http://schemas.openxmlformats.org/drawingml/2006/picture">
                      <pic:pic>
                        <pic:nvPicPr>
                          <pic:cNvPr id="0" name="nocip-gold.png"/>
                          <pic:cNvPicPr/>
                        </pic:nvPicPr>
                        <pic:blipFill>
                          <a:blip r:embed="rId12"/>
                          <a:stretch>
                            <a:fillRect/>
                          </a:stretch>
                        </pic:blipFill>
                        <pic:spPr>
                          <a:xfrm>
                            <a:off x="0" y="0"/>
                            <a:ext cx="1188000" cy="1188000"/>
                          </a:xfrm>
                          <a:prstGeom prst="rect"/>
                        </pic:spPr>
                      </pic:pic>
                    </a:graphicData>
                  </a:graphic>
                </wp:inline>
              </w:drawing>
            </w:r>
          </w:p>
        </w:tc>
        <w:tc>
          <w:tcPr>
            <w:tcW w:type="dxa" w:w="2268"/>
          </w:tcPr>
          <w:p>
            <w:r>
              <w:drawing>
                <wp:inline xmlns:a="http://schemas.openxmlformats.org/drawingml/2006/main" xmlns:pic="http://schemas.openxmlformats.org/drawingml/2006/picture">
                  <wp:extent cx="1188000" cy="1188000"/>
                  <wp:docPr id="3" name="Picture 3"/>
                  <wp:cNvGraphicFramePr>
                    <a:graphicFrameLocks noChangeAspect="1"/>
                  </wp:cNvGraphicFramePr>
                  <a:graphic>
                    <a:graphicData uri="http://schemas.openxmlformats.org/drawingml/2006/picture">
                      <pic:pic>
                        <pic:nvPicPr>
                          <pic:cNvPr id="0" name="nocip-silver.png"/>
                          <pic:cNvPicPr/>
                        </pic:nvPicPr>
                        <pic:blipFill>
                          <a:blip r:embed="rId13"/>
                          <a:stretch>
                            <a:fillRect/>
                          </a:stretch>
                        </pic:blipFill>
                        <pic:spPr>
                          <a:xfrm>
                            <a:off x="0" y="0"/>
                            <a:ext cx="1188000" cy="1188000"/>
                          </a:xfrm>
                          <a:prstGeom prst="rect"/>
                        </pic:spPr>
                      </pic:pic>
                    </a:graphicData>
                  </a:graphic>
                </wp:inline>
              </w:drawing>
            </w:r>
          </w:p>
        </w:tc>
        <w:tc>
          <w:tcPr>
            <w:tcW w:type="dxa" w:w="2268"/>
          </w:tcPr>
          <w:p>
            <w:r>
              <w:drawing>
                <wp:inline xmlns:a="http://schemas.openxmlformats.org/drawingml/2006/main" xmlns:pic="http://schemas.openxmlformats.org/drawingml/2006/picture">
                  <wp:extent cx="1188000" cy="1188000"/>
                  <wp:docPr id="4" name="Picture 4"/>
                  <wp:cNvGraphicFramePr>
                    <a:graphicFrameLocks noChangeAspect="1"/>
                  </wp:cNvGraphicFramePr>
                  <a:graphic>
                    <a:graphicData uri="http://schemas.openxmlformats.org/drawingml/2006/picture">
                      <pic:pic>
                        <pic:nvPicPr>
                          <pic:cNvPr id="0" name="nocip-bronze.png"/>
                          <pic:cNvPicPr/>
                        </pic:nvPicPr>
                        <pic:blipFill>
                          <a:blip r:embed="rId14"/>
                          <a:stretch>
                            <a:fillRect/>
                          </a:stretch>
                        </pic:blipFill>
                        <pic:spPr>
                          <a:xfrm>
                            <a:off x="0" y="0"/>
                            <a:ext cx="1188000" cy="1188000"/>
                          </a:xfrm>
                          <a:prstGeom prst="rect"/>
                        </pic:spPr>
                      </pic:pic>
                    </a:graphicData>
                  </a:graphic>
                </wp:inline>
              </w:drawing>
            </w:r>
          </w:p>
        </w:tc>
      </w:tr>
    </w:tbl>
    <w:p>
      <w:pPr>
        <w:spacing w:after="120"/>
      </w:pPr>
    </w:p>
    <w:p>
      <w:pPr>
        <w:pStyle w:val="Heading1"/>
      </w:pPr>
      <w:r>
        <w:t>1  Worum es geht</w:t>
      </w:r>
    </w:p>
    <w:p>
      <w:r>
        <w:rPr>
          <w:b w:val="0"/>
          <w:i w:val="0"/>
        </w:rPr>
        <w:t>Viele Programme schicken heute Texte, Dokumente und Fragen an große KI-Dienste in der Cloud. Für Kanzleien, Arztpraxen, Behörden und Unternehmen heißt das: Vertrauliche und personenbezogene Daten verlassen das Haus, oft in Drittländer. Für viele Aufgaben ist das nicht nötig. Kleinere Modelle laufen heute auf normalen Rechnern und Servern und erledigen Erkennung, Klassifikation und Zusammenfassung zuverlässig.</w:t>
      </w:r>
    </w:p>
    <w:p>
      <w:r>
        <w:rPr>
          <w:b w:val="0"/>
          <w:i w:val="0"/>
        </w:rPr>
        <w:t>NOCIP steht für „No Cloud Inference on Personal data“: keine Cloud-Inferenz mit personenbezogenen Daten. Das NOCIP-Label zeigt Käufern auf einen Blick, wo die KI eines Produkts läuft und wohin personenbezogene Daten gelangen. Es beruht auf einer technischen Prüfung, nicht auf einer Selbsterklärung.</w:t>
      </w:r>
    </w:p>
    <w:p>
      <w:pPr>
        <w:pStyle w:val="Heading1"/>
      </w:pPr>
      <w:r>
        <w:t>2  Die drei Stufen und der Index</w:t>
      </w:r>
    </w:p>
    <w:p>
      <w:r>
        <w:rPr>
          <w:b w:val="0"/>
          <w:i w:val="0"/>
        </w:rPr>
        <w:t>Die Stufe beantwortet eine Frage: Wer betreibt die KI, die personenbezogene Daten sieht?</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360"/>
        <w:gridCol w:w="1927"/>
        <w:gridCol w:w="6350"/>
      </w:tblGrid>
      <w:tr>
        <w:trPr>
          <w:cantSplit w:val="true"/>
          <w:tblHeader w:val="true"/>
        </w:trPr>
        <w:tc>
          <w:tcPr>
            <w:tcW w:type="dxa" w:w="1361"/>
            <w:shd w:val="clear" w:color="auto" w:fill="EEF2F6"/>
          </w:tcPr>
          <w:p>
            <w:pPr>
              <w:spacing w:after="0"/>
            </w:pPr>
            <w:r>
              <w:rPr>
                <w:b/>
                <w:i w:val="0"/>
                <w:color w:val="586676"/>
                <w:sz w:val="16"/>
              </w:rPr>
              <w:t>Stufe</w:t>
            </w:r>
          </w:p>
        </w:tc>
        <w:tc>
          <w:tcPr>
            <w:tcW w:type="dxa" w:w="1928"/>
            <w:shd w:val="clear" w:color="auto" w:fill="EEF2F6"/>
          </w:tcPr>
          <w:p>
            <w:pPr>
              <w:spacing w:after="0"/>
            </w:pPr>
            <w:r>
              <w:rPr>
                <w:b/>
                <w:i w:val="0"/>
                <w:color w:val="586676"/>
                <w:sz w:val="16"/>
              </w:rPr>
              <w:t>Bezeichnung</w:t>
            </w:r>
          </w:p>
        </w:tc>
        <w:tc>
          <w:tcPr>
            <w:tcW w:type="dxa" w:w="6350"/>
            <w:shd w:val="clear" w:color="auto" w:fill="EEF2F6"/>
          </w:tcPr>
          <w:p>
            <w:pPr>
              <w:spacing w:after="0"/>
            </w:pPr>
            <w:r>
              <w:rPr>
                <w:b/>
                <w:i w:val="0"/>
                <w:color w:val="586676"/>
                <w:sz w:val="16"/>
              </w:rPr>
              <w:t>Bedeutung</w:t>
            </w:r>
          </w:p>
        </w:tc>
      </w:tr>
      <w:tr>
        <w:trPr>
          <w:cantSplit w:val="true"/>
        </w:trPr>
        <w:tc>
          <w:tcPr>
            <w:tcW w:type="dxa" w:w="1361"/>
          </w:tcPr>
          <w:p>
            <w:pPr>
              <w:spacing w:after="0"/>
            </w:pPr>
            <w:r>
              <w:rPr>
                <w:b/>
                <w:i w:val="0"/>
                <w:color w:val="946A12"/>
              </w:rPr>
              <w:t>Gold</w:t>
            </w:r>
          </w:p>
        </w:tc>
        <w:tc>
          <w:tcPr>
            <w:tcW w:type="dxa" w:w="1928"/>
          </w:tcPr>
          <w:p>
            <w:pPr>
              <w:spacing w:after="0"/>
            </w:pPr>
            <w:r>
              <w:rPr>
                <w:b w:val="0"/>
                <w:i w:val="0"/>
              </w:rPr>
              <w:t>Lokale KI</w:t>
            </w:r>
          </w:p>
        </w:tc>
        <w:tc>
          <w:tcPr>
            <w:tcW w:type="dxa" w:w="6350"/>
          </w:tcPr>
          <w:p>
            <w:pPr>
              <w:spacing w:after="0"/>
            </w:pPr>
            <w:r>
              <w:rPr>
                <w:b w:val="0"/>
                <w:i w:val="0"/>
              </w:rPr>
              <w:t>Die KI läuft beim Kunden. Echte Inhalte verlassen den Kunden nie.</w:t>
            </w:r>
          </w:p>
        </w:tc>
      </w:tr>
      <w:tr>
        <w:trPr>
          <w:cantSplit w:val="true"/>
        </w:trPr>
        <w:tc>
          <w:tcPr>
            <w:tcW w:type="dxa" w:w="1361"/>
          </w:tcPr>
          <w:p>
            <w:pPr>
              <w:spacing w:after="0"/>
            </w:pPr>
            <w:r>
              <w:rPr>
                <w:b/>
                <w:i w:val="0"/>
                <w:color w:val="5F6B78"/>
              </w:rPr>
              <w:t>Silber</w:t>
            </w:r>
          </w:p>
        </w:tc>
        <w:tc>
          <w:tcPr>
            <w:tcW w:type="dxa" w:w="1928"/>
          </w:tcPr>
          <w:p>
            <w:pPr>
              <w:spacing w:after="0"/>
            </w:pPr>
            <w:r>
              <w:rPr>
                <w:b w:val="0"/>
                <w:i w:val="0"/>
              </w:rPr>
              <w:t>Hybride KI</w:t>
            </w:r>
          </w:p>
        </w:tc>
        <w:tc>
          <w:tcPr>
            <w:tcW w:type="dxa" w:w="6350"/>
          </w:tcPr>
          <w:p>
            <w:pPr>
              <w:spacing w:after="0"/>
            </w:pPr>
            <w:r>
              <w:rPr>
                <w:b w:val="0"/>
                <w:i w:val="0"/>
              </w:rPr>
              <w:t>Personenbezogene Daten sieht nur KI des Kunden oder des Anbieters selbst.</w:t>
            </w:r>
          </w:p>
        </w:tc>
      </w:tr>
      <w:tr>
        <w:trPr>
          <w:cantSplit w:val="true"/>
        </w:trPr>
        <w:tc>
          <w:tcPr>
            <w:tcW w:type="dxa" w:w="1361"/>
          </w:tcPr>
          <w:p>
            <w:pPr>
              <w:spacing w:after="0"/>
            </w:pPr>
            <w:r>
              <w:rPr>
                <w:b/>
                <w:i w:val="0"/>
                <w:color w:val="8E4F1E"/>
              </w:rPr>
              <w:t>Bronze</w:t>
            </w:r>
          </w:p>
        </w:tc>
        <w:tc>
          <w:tcPr>
            <w:tcW w:type="dxa" w:w="1928"/>
          </w:tcPr>
          <w:p>
            <w:pPr>
              <w:spacing w:after="0"/>
            </w:pPr>
            <w:r>
              <w:rPr>
                <w:b w:val="0"/>
                <w:i w:val="0"/>
              </w:rPr>
              <w:t>Pseudonymisiert</w:t>
            </w:r>
          </w:p>
        </w:tc>
        <w:tc>
          <w:tcPr>
            <w:tcW w:type="dxa" w:w="6350"/>
          </w:tcPr>
          <w:p>
            <w:pPr>
              <w:spacing w:after="0"/>
            </w:pPr>
            <w:r>
              <w:rPr>
                <w:b w:val="0"/>
                <w:i w:val="0"/>
              </w:rPr>
              <w:t>Eine Dritt-KI erhält personenbezogene Daten nur pseudonymisiert.</w:t>
            </w:r>
          </w:p>
        </w:tc>
      </w:tr>
    </w:tbl>
    <w:p>
      <w:pPr>
        <w:spacing w:after="40"/>
      </w:pPr>
    </w:p>
    <w:p>
      <w:r>
        <w:rPr>
          <w:b w:val="0"/>
          <w:i w:val="0"/>
        </w:rPr>
        <w:t>Innerhalb der Stufe bewertet der NOCIP-Index die Umsetzung mit 0 bis 10 ganzen Punkten: fünf Gruppen zu je 0 bis 2 Punkten. Der Index ändert die Stufe nie; er steht neben ihr (z. B. „Silber · 8/10“).</w:t>
      </w:r>
    </w:p>
    <w:p>
      <w:pPr>
        <w:spacing w:after="60"/>
        <w:ind w:left="340" w:hanging="255"/>
      </w:pPr>
      <w:r>
        <w:rPr>
          <w:b w:val="0"/>
          <w:i w:val="0"/>
          <w:color w:val="1C3550"/>
        </w:rPr>
        <w:t xml:space="preserve">– </w:t>
      </w:r>
      <w:r>
        <w:rPr>
          <w:b/>
          <w:i w:val="0"/>
        </w:rPr>
        <w:t xml:space="preserve">I-1 </w:t>
      </w:r>
      <w:r>
        <w:rPr>
          <w:b w:val="0"/>
          <w:i w:val="0"/>
        </w:rPr>
        <w:t>Transparenz</w:t>
      </w:r>
    </w:p>
    <w:p>
      <w:pPr>
        <w:spacing w:after="60"/>
        <w:ind w:left="340" w:hanging="255"/>
      </w:pPr>
      <w:r>
        <w:rPr>
          <w:b w:val="0"/>
          <w:i w:val="0"/>
          <w:color w:val="1C3550"/>
        </w:rPr>
        <w:t xml:space="preserve">– </w:t>
      </w:r>
      <w:r>
        <w:rPr>
          <w:b/>
          <w:i w:val="0"/>
        </w:rPr>
        <w:t xml:space="preserve">I-2 </w:t>
      </w:r>
      <w:r>
        <w:rPr>
          <w:b w:val="0"/>
          <w:i w:val="0"/>
        </w:rPr>
        <w:t>Kontrolle durch den Kunden</w:t>
      </w:r>
    </w:p>
    <w:p>
      <w:pPr>
        <w:spacing w:after="60"/>
        <w:ind w:left="340" w:hanging="255"/>
      </w:pPr>
      <w:r>
        <w:rPr>
          <w:b w:val="0"/>
          <w:i w:val="0"/>
          <w:color w:val="1C3550"/>
        </w:rPr>
        <w:t xml:space="preserve">– </w:t>
      </w:r>
      <w:r>
        <w:rPr>
          <w:b/>
          <w:i w:val="0"/>
        </w:rPr>
        <w:t xml:space="preserve">I-3 </w:t>
      </w:r>
      <w:r>
        <w:rPr>
          <w:b w:val="0"/>
          <w:i w:val="0"/>
        </w:rPr>
        <w:t>Datensparsamkeit</w:t>
      </w:r>
    </w:p>
    <w:p>
      <w:pPr>
        <w:spacing w:after="60"/>
        <w:ind w:left="340" w:hanging="255"/>
      </w:pPr>
      <w:r>
        <w:rPr>
          <w:b w:val="0"/>
          <w:i w:val="0"/>
          <w:color w:val="1C3550"/>
        </w:rPr>
        <w:t xml:space="preserve">– </w:t>
      </w:r>
      <w:r>
        <w:rPr>
          <w:b/>
          <w:i w:val="0"/>
        </w:rPr>
        <w:t xml:space="preserve">I-4 </w:t>
      </w:r>
      <w:r>
        <w:rPr>
          <w:b w:val="0"/>
          <w:i w:val="0"/>
        </w:rPr>
        <w:t>Integrität</w:t>
      </w:r>
    </w:p>
    <w:p>
      <w:pPr>
        <w:spacing w:after="60"/>
        <w:ind w:left="340" w:hanging="255"/>
      </w:pPr>
      <w:r>
        <w:rPr>
          <w:b w:val="0"/>
          <w:i w:val="0"/>
          <w:color w:val="1C3550"/>
        </w:rPr>
        <w:t xml:space="preserve">– </w:t>
      </w:r>
      <w:r>
        <w:rPr>
          <w:b/>
          <w:i w:val="0"/>
        </w:rPr>
        <w:t xml:space="preserve">I-5 </w:t>
      </w:r>
      <w:r>
        <w:rPr>
          <w:b w:val="0"/>
          <w:i w:val="0"/>
        </w:rPr>
        <w:t>Nachprüfbarkeit</w:t>
      </w:r>
    </w:p>
    <w:p>
      <w:pPr>
        <w:pStyle w:val="Heading1"/>
      </w:pPr>
      <w:r>
        <w:t>3  Welche Stufe passt zu Ihrem Produkt?</w:t>
      </w:r>
    </w:p>
    <w:p>
      <w:pPr>
        <w:spacing w:after="60"/>
        <w:ind w:left="340" w:hanging="255"/>
      </w:pPr>
      <w:r>
        <w:rPr>
          <w:b w:val="0"/>
          <w:i w:val="0"/>
          <w:color w:val="1C3550"/>
        </w:rPr>
        <w:t xml:space="preserve">– </w:t>
      </w:r>
      <w:r>
        <w:rPr>
          <w:b w:val="0"/>
          <w:i w:val="0"/>
        </w:rPr>
        <w:t>Läuft jede KI-Funktion auf dem Rechner oder Server Ihres Kunden und funktioniert sie offline? → Gold.</w:t>
      </w:r>
    </w:p>
    <w:p>
      <w:pPr>
        <w:spacing w:after="60"/>
        <w:ind w:left="340" w:hanging="255"/>
      </w:pPr>
      <w:r>
        <w:rPr>
          <w:b w:val="0"/>
          <w:i w:val="0"/>
          <w:color w:val="1C3550"/>
        </w:rPr>
        <w:t xml:space="preserve">– </w:t>
      </w:r>
      <w:r>
        <w:rPr>
          <w:b w:val="0"/>
          <w:i w:val="0"/>
        </w:rPr>
        <w:t>Betreiben Sie die Modelle selbst auf eigenen oder exklusiv gemieteten Servern im EWR (SaaS)? → Silber, Variante S-a.</w:t>
      </w:r>
    </w:p>
    <w:p>
      <w:pPr>
        <w:spacing w:after="60"/>
        <w:ind w:left="340" w:hanging="255"/>
      </w:pPr>
      <w:r>
        <w:rPr>
          <w:b w:val="0"/>
          <w:i w:val="0"/>
          <w:color w:val="1C3550"/>
        </w:rPr>
        <w:t xml:space="preserve">– </w:t>
      </w:r>
      <w:r>
        <w:rPr>
          <w:b w:val="0"/>
          <w:i w:val="0"/>
        </w:rPr>
        <w:t>Nutzen Sie eine Dritt-KI, aber nur für Anfragen ohne personenbezogene Daten, und entscheidet eine Weiche darüber? → Silber, Variante S-b.</w:t>
      </w:r>
    </w:p>
    <w:p>
      <w:pPr>
        <w:spacing w:after="60"/>
        <w:ind w:left="340" w:hanging="255"/>
      </w:pPr>
      <w:r>
        <w:rPr>
          <w:b w:val="0"/>
          <w:i w:val="0"/>
          <w:color w:val="1C3550"/>
        </w:rPr>
        <w:t xml:space="preserve">– </w:t>
      </w:r>
      <w:r>
        <w:rPr>
          <w:b w:val="0"/>
          <w:i w:val="0"/>
        </w:rPr>
        <w:t>Senden Sie personenbezogene Inhalte an eine Dritt-KI, pseudonymisieren sie aber vorher? → Bronze.</w:t>
      </w:r>
    </w:p>
    <w:p>
      <w:pPr>
        <w:spacing w:after="60"/>
        <w:ind w:left="340" w:hanging="255"/>
      </w:pPr>
      <w:r>
        <w:rPr>
          <w:b w:val="0"/>
          <w:i w:val="0"/>
          <w:color w:val="1C3550"/>
        </w:rPr>
        <w:t xml:space="preserve">– </w:t>
      </w:r>
      <w:r>
        <w:rPr>
          <w:b w:val="0"/>
          <w:i w:val="0"/>
        </w:rPr>
        <w:t>Senden Sie personenbezogene Daten ungeschützt an eine Dritt-KI? → Kein NOCIP-Label. Der Leitfaden zeigt, welche Kriterien Sie für Bronze erfüllen müssten.</w:t>
      </w:r>
    </w:p>
    <w:p>
      <w:r>
        <w:rPr>
          <w:b w:val="0"/>
          <w:i w:val="0"/>
        </w:rPr>
        <w:t>Sie beantragen die Stufe, die Sie erwarten. Erfüllt Ihr Produkt sie nicht vollständig, erhält es die höchste Stufe, deren Kriterien es erfüllt.</w:t>
      </w:r>
    </w:p>
    <w:p>
      <w:pPr>
        <w:pStyle w:val="Heading1"/>
      </w:pPr>
      <w:r>
        <w:t>4  Ablauf</w:t>
      </w:r>
    </w:p>
    <w:p>
      <w:pPr>
        <w:spacing w:after="60"/>
        <w:ind w:left="340" w:hanging="255"/>
      </w:pPr>
      <w:r>
        <w:rPr>
          <w:b/>
          <w:i w:val="0"/>
          <w:color w:val="1C3550"/>
        </w:rPr>
        <w:t xml:space="preserve">1. </w:t>
      </w:r>
      <w:r>
        <w:rPr>
          <w:b/>
          <w:i w:val="0"/>
        </w:rPr>
        <w:t xml:space="preserve">Antrag: </w:t>
      </w:r>
      <w:r>
        <w:rPr>
          <w:b w:val="0"/>
          <w:i w:val="0"/>
        </w:rPr>
        <w:t>Online auf nocip.com. Sie nennen das Produkt und die Stufe, die Sie erwarten.</w:t>
      </w:r>
    </w:p>
    <w:p>
      <w:pPr>
        <w:spacing w:after="60"/>
        <w:ind w:left="340" w:hanging="255"/>
      </w:pPr>
      <w:r>
        <w:rPr>
          <w:b/>
          <w:i w:val="0"/>
          <w:color w:val="1C3550"/>
        </w:rPr>
        <w:t xml:space="preserve">2. </w:t>
      </w:r>
      <w:r>
        <w:rPr>
          <w:b/>
          <w:i w:val="0"/>
        </w:rPr>
        <w:t xml:space="preserve">Selbstauskunft: </w:t>
      </w:r>
      <w:r>
        <w:rPr>
          <w:b w:val="0"/>
          <w:i w:val="0"/>
        </w:rPr>
        <w:t>Eine Antwort je Kriterium, mit Architekturbeschreibung und Testzugang.</w:t>
      </w:r>
    </w:p>
    <w:p>
      <w:pPr>
        <w:spacing w:after="60"/>
        <w:ind w:left="340" w:hanging="255"/>
      </w:pPr>
      <w:r>
        <w:rPr>
          <w:b/>
          <w:i w:val="0"/>
          <w:color w:val="1C3550"/>
        </w:rPr>
        <w:t xml:space="preserve">3. </w:t>
      </w:r>
      <w:r>
        <w:rPr>
          <w:b/>
          <w:i w:val="0"/>
        </w:rPr>
        <w:t xml:space="preserve">Prüfung: </w:t>
      </w:r>
      <w:r>
        <w:rPr>
          <w:b w:val="0"/>
          <w:i w:val="0"/>
        </w:rPr>
        <w:t>be next prüft nach der veröffentlichten Prüfcheckliste: Netzwerkmitschnitt, Testkorpus, Störungstests, Unterlagen.</w:t>
      </w:r>
    </w:p>
    <w:p>
      <w:pPr>
        <w:spacing w:after="60"/>
        <w:ind w:left="340" w:hanging="255"/>
      </w:pPr>
      <w:r>
        <w:rPr>
          <w:b/>
          <w:i w:val="0"/>
          <w:color w:val="1C3550"/>
        </w:rPr>
        <w:t xml:space="preserve">4. </w:t>
      </w:r>
      <w:r>
        <w:rPr>
          <w:b/>
          <w:i w:val="0"/>
        </w:rPr>
        <w:t xml:space="preserve">Prüfbericht: </w:t>
      </w:r>
      <w:r>
        <w:rPr>
          <w:b w:val="0"/>
          <w:i w:val="0"/>
        </w:rPr>
        <w:t>Ergebnis je Kriterium, Stufe und Index. Nicht erfüllte Kriterien können Sie nachbessern.</w:t>
      </w:r>
    </w:p>
    <w:p>
      <w:pPr>
        <w:spacing w:after="60"/>
        <w:ind w:left="340" w:hanging="255"/>
      </w:pPr>
      <w:r>
        <w:rPr>
          <w:b/>
          <w:i w:val="0"/>
          <w:color w:val="1C3550"/>
        </w:rPr>
        <w:t xml:space="preserve">5. </w:t>
      </w:r>
      <w:r>
        <w:rPr>
          <w:b/>
          <w:i w:val="0"/>
        </w:rPr>
        <w:t xml:space="preserve">Label und Register: </w:t>
      </w:r>
      <w:r>
        <w:rPr>
          <w:b w:val="0"/>
          <w:i w:val="0"/>
        </w:rPr>
        <w:t>Label-Vereinbarung, Kennung, Registereintrag, Logo-Paket und Abzeichen.</w:t>
      </w:r>
    </w:p>
    <w:p>
      <w:pPr>
        <w:spacing w:after="60"/>
        <w:ind w:left="340" w:hanging="255"/>
      </w:pPr>
      <w:r>
        <w:rPr>
          <w:b/>
          <w:i w:val="0"/>
          <w:color w:val="1C3550"/>
        </w:rPr>
        <w:t xml:space="preserve">6. </w:t>
      </w:r>
      <w:r>
        <w:rPr>
          <w:b/>
          <w:i w:val="0"/>
        </w:rPr>
        <w:t xml:space="preserve">Verlängerung: </w:t>
      </w:r>
      <w:r>
        <w:rPr>
          <w:b w:val="0"/>
          <w:i w:val="0"/>
        </w:rPr>
        <w:t>Jährliche Nachprüfung; Stichproben während der Gültigkeit.</w:t>
      </w:r>
    </w:p>
    <w:p>
      <w:r>
        <w:rPr>
          <w:b w:val="0"/>
          <w:i w:val="0"/>
        </w:rPr>
        <w:t>Von der vollständigen Selbstauskunft bis zum Prüfbericht vergehen in der Regel vier Wochen.</w:t>
      </w:r>
    </w:p>
    <w:p>
      <w:pPr>
        <w:pStyle w:val="Heading1"/>
      </w:pPr>
      <w:r>
        <w:t>5  Was Sie vorbereiten</w:t>
      </w:r>
    </w:p>
    <w:p>
      <w:pPr>
        <w:spacing w:after="60"/>
        <w:ind w:left="340" w:hanging="255"/>
      </w:pPr>
      <w:r>
        <w:rPr>
          <w:b w:val="0"/>
          <w:i w:val="0"/>
          <w:color w:val="1C3550"/>
        </w:rPr>
        <w:t xml:space="preserve">– </w:t>
      </w:r>
      <w:r>
        <w:rPr>
          <w:b w:val="0"/>
          <w:i w:val="0"/>
        </w:rPr>
        <w:t>Die ausgefüllte Selbstauskunft mit Modellverzeichnis und Verbindungsliste.</w:t>
      </w:r>
    </w:p>
    <w:p>
      <w:pPr>
        <w:spacing w:after="60"/>
        <w:ind w:left="340" w:hanging="255"/>
      </w:pPr>
      <w:r>
        <w:rPr>
          <w:b w:val="0"/>
          <w:i w:val="0"/>
          <w:color w:val="1C3550"/>
        </w:rPr>
        <w:t xml:space="preserve">– </w:t>
      </w:r>
      <w:r>
        <w:rPr>
          <w:b w:val="0"/>
          <w:i w:val="0"/>
        </w:rPr>
        <w:t>Eine Architekturbeschreibung: welche KI-Funktionen es gibt und wo jede verarbeitet wird (ein Datenflussbild genügt).</w:t>
      </w:r>
    </w:p>
    <w:p>
      <w:pPr>
        <w:spacing w:after="60"/>
        <w:ind w:left="340" w:hanging="255"/>
      </w:pPr>
      <w:r>
        <w:rPr>
          <w:b w:val="0"/>
          <w:i w:val="0"/>
          <w:color w:val="1C3550"/>
        </w:rPr>
        <w:t xml:space="preserve">– </w:t>
      </w:r>
      <w:r>
        <w:rPr>
          <w:b w:val="0"/>
          <w:i w:val="0"/>
        </w:rPr>
        <w:t>Eine Testinstallation oder einen Testzugang mit allen KI-Funktionen, für mindestens sechs Wochen.</w:t>
      </w:r>
    </w:p>
    <w:p>
      <w:pPr>
        <w:spacing w:after="60"/>
        <w:ind w:left="340" w:hanging="255"/>
      </w:pPr>
      <w:r>
        <w:rPr>
          <w:b w:val="0"/>
          <w:i w:val="0"/>
          <w:color w:val="1C3550"/>
        </w:rPr>
        <w:t xml:space="preserve">– </w:t>
      </w:r>
      <w:r>
        <w:rPr>
          <w:b w:val="0"/>
          <w:i w:val="0"/>
        </w:rPr>
        <w:t>Für SaaS: Vertrag zur Auftragsverarbeitung, Liste der Unterauftragsverarbeiter, Hosting-Verträge.</w:t>
      </w:r>
    </w:p>
    <w:p>
      <w:pPr>
        <w:spacing w:after="60"/>
        <w:ind w:left="340" w:hanging="255"/>
      </w:pPr>
      <w:r>
        <w:rPr>
          <w:b w:val="0"/>
          <w:i w:val="0"/>
          <w:color w:val="1C3550"/>
        </w:rPr>
        <w:t xml:space="preserve">– </w:t>
      </w:r>
      <w:r>
        <w:rPr>
          <w:b w:val="0"/>
          <w:i w:val="0"/>
        </w:rPr>
        <w:t>Für Bronze und Silber S-b: Vertrag bzw. Bedingungen der Dritt-KI und die gewählte Region.</w:t>
      </w:r>
    </w:p>
    <w:p>
      <w:pPr>
        <w:spacing w:after="60"/>
        <w:ind w:left="340" w:hanging="255"/>
      </w:pPr>
      <w:r>
        <w:rPr>
          <w:b w:val="0"/>
          <w:i w:val="0"/>
          <w:color w:val="1C3550"/>
        </w:rPr>
        <w:t xml:space="preserve">– </w:t>
      </w:r>
      <w:r>
        <w:rPr>
          <w:b w:val="0"/>
          <w:i w:val="0"/>
        </w:rPr>
        <w:t>Wenn Ihr Produkt Zertifikats-Pinning nutzt: eine Testversion ohne Pinning oder ein Protokoll der ausgehenden Daten.</w:t>
      </w:r>
    </w:p>
    <w:p>
      <w:pPr>
        <w:pStyle w:val="Heading1"/>
      </w:pPr>
      <w:r>
        <w:t>6  Kosten und Prüfstelle</w:t>
      </w:r>
    </w:p>
    <w:p>
      <w:r>
        <w:rPr>
          <w:b w:val="0"/>
          <w:i w:val="0"/>
        </w:rPr>
        <w:t>Prüfung und Label sind kostenlos. Ist ein Kriterium nicht erfüllt, können Sie nachbessern; die erste Nachprüfung ist ebenfalls kostenlos.</w:t>
      </w:r>
    </w:p>
    <w:p>
      <w:r>
        <w:rPr>
          <w:b w:val="0"/>
          <w:i w:val="0"/>
        </w:rPr>
        <w:t>Die Prüfungen führt die be next GmbH (Stuttgart) durch. be next bietet mit LexITanon selbst eine Software zur Pseudonymisierung an. Deshalb ist die Prüfcheckliste öffentlich, jede Prüfung folgt ihr, und be next veröffentlicht den vollständigen Prüfbericht ihrer eigenen Produkte. Ihre Unterlagen und Testergebnisse behandelt be next vertraulich.</w:t>
      </w:r>
    </w:p>
    <w:p>
      <w:pPr>
        <w:pStyle w:val="Heading1"/>
      </w:pPr>
      <w:r>
        <w:t>7  Nach der Prüfung</w:t>
      </w:r>
    </w:p>
    <w:p>
      <w:pPr>
        <w:spacing w:after="60"/>
        <w:ind w:left="340" w:hanging="255"/>
      </w:pPr>
      <w:r>
        <w:rPr>
          <w:b w:val="0"/>
          <w:i w:val="0"/>
          <w:color w:val="1C3550"/>
        </w:rPr>
        <w:t xml:space="preserve">– </w:t>
      </w:r>
      <w:r>
        <w:rPr>
          <w:b w:val="0"/>
          <w:i w:val="0"/>
        </w:rPr>
        <w:t>Sie erhalten den Prüfbericht mit dem Ergebnis für jedes Kriterium, der Stufe und dem Index.</w:t>
      </w:r>
    </w:p>
    <w:p>
      <w:pPr>
        <w:spacing w:after="60"/>
        <w:ind w:left="340" w:hanging="255"/>
      </w:pPr>
      <w:r>
        <w:rPr>
          <w:b w:val="0"/>
          <w:i w:val="0"/>
          <w:color w:val="1C3550"/>
        </w:rPr>
        <w:t xml:space="preserve">– </w:t>
      </w:r>
      <w:r>
        <w:rPr>
          <w:b w:val="0"/>
          <w:i w:val="0"/>
        </w:rPr>
        <w:t>Mit der Label-Vereinbarung erhalten Sie die Kennung (z. B. NOCIP-S-2026-0003), das Logo-Paket und das Abzeichen für Ihre Website. Das Abzeichen zeigt immer den aktuellen Stand aus dem Register.</w:t>
      </w:r>
    </w:p>
    <w:p>
      <w:pPr>
        <w:spacing w:after="60"/>
        <w:ind w:left="340" w:hanging="255"/>
      </w:pPr>
      <w:r>
        <w:rPr>
          <w:b w:val="0"/>
          <w:i w:val="0"/>
          <w:color w:val="1C3550"/>
        </w:rPr>
        <w:t xml:space="preserve">– </w:t>
      </w:r>
      <w:r>
        <w:rPr>
          <w:b w:val="0"/>
          <w:i w:val="0"/>
        </w:rPr>
        <w:t>Das Label gilt 12 Monate. Änderungen der KI-Architektur melden Sie innerhalb von 30 Tagen, Änderungen mit niedrigerer Stufe vorher.</w:t>
      </w:r>
    </w:p>
    <w:p>
      <w:pPr>
        <w:spacing w:after="60"/>
        <w:ind w:left="340" w:hanging="255"/>
      </w:pPr>
      <w:r>
        <w:rPr>
          <w:b w:val="0"/>
          <w:i w:val="0"/>
          <w:color w:val="1C3550"/>
        </w:rPr>
        <w:t xml:space="preserve">– </w:t>
      </w:r>
      <w:r>
        <w:rPr>
          <w:b w:val="0"/>
          <w:i w:val="0"/>
        </w:rPr>
        <w:t>NOCIP kann während der Gültigkeit Stichproben durchführen.</w:t>
      </w:r>
    </w:p>
    <w:p>
      <w:pPr>
        <w:pStyle w:val="Heading1"/>
      </w:pPr>
      <w:r>
        <w:t>8  Häufige Fragen</w:t>
      </w:r>
    </w:p>
    <w:p>
      <w:pPr>
        <w:spacing w:after="40"/>
      </w:pPr>
      <w:r>
        <w:rPr>
          <w:b/>
          <w:i w:val="0"/>
        </w:rPr>
        <w:t>Wir nutzen Modelle eines Cloud-Anbieters in unserem eigenen Konto in Frankfurt. Ist das Silber?</w:t>
      </w:r>
    </w:p>
    <w:p>
      <w:r>
        <w:rPr>
          <w:b w:val="0"/>
          <w:i w:val="0"/>
        </w:rPr>
        <w:t>Nein. Modell-Dienste eines Cloud-Anbieters gelten als Dritt-KI, auch bei Hosting in der EU, denn der Cloud-Anbieter führt das Modell aus. Silber S-a setzt voraus, dass Sie die Modelle selbst ausführen. Mit vorgeschalteter Pseudonymisierung ist Bronze möglich.</w:t>
      </w:r>
    </w:p>
    <w:p>
      <w:pPr>
        <w:spacing w:after="40"/>
      </w:pPr>
      <w:r>
        <w:rPr>
          <w:b/>
          <w:i w:val="0"/>
        </w:rPr>
        <w:t>Unser Produkt hat KI-Funktionen in verschiedenen Stufen. Welche gilt?</w:t>
      </w:r>
    </w:p>
    <w:p>
      <w:r>
        <w:rPr>
          <w:b w:val="0"/>
          <w:i w:val="0"/>
        </w:rPr>
        <w:t>Die niedrigste. Das Label beschreibt das Produkt, so wie Kunden es einsetzen. Lässt sich eine Funktion abschalten, können Sie eine Produktvariante ohne sie prüfen lassen.</w:t>
      </w:r>
    </w:p>
    <w:p>
      <w:pPr>
        <w:spacing w:after="40"/>
      </w:pPr>
      <w:r>
        <w:rPr>
          <w:b/>
          <w:i w:val="0"/>
        </w:rPr>
        <w:t>Sind pseudonymisierte Daten nicht trotzdem personenbezogen?</w:t>
      </w:r>
    </w:p>
    <w:p>
      <w:r>
        <w:rPr>
          <w:b w:val="0"/>
          <w:i w:val="0"/>
        </w:rPr>
        <w:t>Für Sie als Absender ja (Art. 4 Nr. 5 DSGVO). Für einen Empfänger ohne Zugang zur Zuordnungstabelle sind sie es nach der Rechtsprechung des EuGH unter Umständen nicht. Bronze verlangt deshalb, dass die Zuordnungstabelle nie übermittelt wird, und verbietet, solche Daten „anonym“ zu nennen.</w:t>
      </w:r>
    </w:p>
    <w:p>
      <w:pPr>
        <w:spacing w:after="40"/>
      </w:pPr>
      <w:r>
        <w:rPr>
          <w:b/>
          <w:i w:val="0"/>
        </w:rPr>
        <w:t>Unser Produkt lässt Nutzer Fehlerbeispiele an uns senden. Geht das mit Gold?</w:t>
      </w:r>
    </w:p>
    <w:p>
      <w:r>
        <w:rPr>
          <w:b w:val="0"/>
          <w:i w:val="0"/>
        </w:rPr>
        <w:t>Ja, wenn der Nutzer jede Meldung selbst auslöst, das Produkt personenbezogene Daten vorher durch erfundene Angaben ersetzt, eine Vorschau genau zeigt, was gesendet wird, und Sie die Meldungen nur zur Verbesserung des Produkts verwenden (Kriterium C-08).</w:t>
      </w:r>
    </w:p>
    <w:p>
      <w:pPr>
        <w:spacing w:after="40"/>
      </w:pPr>
      <w:r>
        <w:rPr>
          <w:b/>
          <w:i w:val="0"/>
        </w:rPr>
        <w:t>Bekommen wir das Testkorpus vorab?</w:t>
      </w:r>
    </w:p>
    <w:p>
      <w:r>
        <w:rPr>
          <w:b w:val="0"/>
          <w:i w:val="0"/>
        </w:rPr>
        <w:t>Nein. Es wird nicht veröffentlicht, damit Ergebnisse vergleichbar bleiben. Die Kategorien und Schwellen stehen im Kriterienkatalog.</w:t>
      </w:r>
    </w:p>
    <w:p>
      <w:pPr>
        <w:spacing w:after="40"/>
      </w:pPr>
      <w:r>
        <w:rPr>
          <w:b/>
          <w:i w:val="0"/>
        </w:rPr>
        <w:t>Dürfen wir mit dem Label werben, solange die Prüfung läuft?</w:t>
      </w:r>
    </w:p>
    <w:p>
      <w:r>
        <w:rPr>
          <w:b w:val="0"/>
          <w:i w:val="0"/>
        </w:rPr>
        <w:t>Nein. Sie dürfen das Label erst nach Abschluss der Label-Vereinbarung zeigen.</w:t>
      </w:r>
    </w:p>
    <w:p>
      <w:pPr>
        <w:pStyle w:val="Heading1"/>
      </w:pPr>
      <w:r>
        <w:t>9  Kontakt</w:t>
      </w:r>
    </w:p>
    <w:p>
      <w:r>
        <w:rPr>
          <w:b w:val="0"/>
          <w:i w:val="0"/>
        </w:rPr>
        <w:t>Antrag und Fragen: das Kontaktformular auf nocip.com/kontakt/ (Thema „Antrag auf Prüfung“).</w:t>
      </w:r>
    </w:p>
    <w:p>
      <w:pPr>
        <w:pStyle w:val="Heading1"/>
      </w:pPr>
      <w:r>
        <w:t>Anhang: Kriterien im Überblick</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850"/>
        <w:gridCol w:w="2721"/>
        <w:gridCol w:w="1587"/>
        <w:gridCol w:w="4479"/>
      </w:tblGrid>
      <w:tr>
        <w:trPr>
          <w:cantSplit w:val="true"/>
          <w:tblHeader w:val="true"/>
        </w:trPr>
        <w:tc>
          <w:tcPr>
            <w:tcW w:type="dxa" w:w="850"/>
            <w:shd w:val="clear" w:color="auto" w:fill="EEF2F6"/>
          </w:tcPr>
          <w:p>
            <w:pPr>
              <w:spacing w:after="0"/>
            </w:pPr>
            <w:r>
              <w:rPr>
                <w:b/>
                <w:i w:val="0"/>
                <w:color w:val="586676"/>
                <w:sz w:val="16"/>
              </w:rPr>
              <w:t>Kennung</w:t>
            </w:r>
          </w:p>
        </w:tc>
        <w:tc>
          <w:tcPr>
            <w:tcW w:type="dxa" w:w="2721"/>
            <w:shd w:val="clear" w:color="auto" w:fill="EEF2F6"/>
          </w:tcPr>
          <w:p>
            <w:pPr>
              <w:spacing w:after="0"/>
            </w:pPr>
            <w:r>
              <w:rPr>
                <w:b/>
                <w:i w:val="0"/>
                <w:color w:val="586676"/>
                <w:sz w:val="16"/>
              </w:rPr>
              <w:t>Kriterium</w:t>
            </w:r>
          </w:p>
        </w:tc>
        <w:tc>
          <w:tcPr>
            <w:tcW w:type="dxa" w:w="1587"/>
            <w:shd w:val="clear" w:color="auto" w:fill="EEF2F6"/>
          </w:tcPr>
          <w:p>
            <w:pPr>
              <w:spacing w:after="0"/>
            </w:pPr>
            <w:r>
              <w:rPr>
                <w:b/>
                <w:i w:val="0"/>
                <w:color w:val="586676"/>
                <w:sz w:val="16"/>
              </w:rPr>
              <w:t>Stufe</w:t>
            </w:r>
          </w:p>
        </w:tc>
        <w:tc>
          <w:tcPr>
            <w:tcW w:type="dxa" w:w="4479"/>
            <w:shd w:val="clear" w:color="auto" w:fill="EEF2F6"/>
          </w:tcPr>
          <w:p>
            <w:pPr>
              <w:spacing w:after="0"/>
            </w:pPr>
            <w:r>
              <w:rPr>
                <w:b/>
                <w:i w:val="0"/>
                <w:color w:val="586676"/>
                <w:sz w:val="16"/>
              </w:rPr>
              <w:t>Schwelle</w:t>
            </w:r>
          </w:p>
        </w:tc>
      </w:tr>
      <w:tr>
        <w:trPr>
          <w:cantSplit w:val="true"/>
        </w:trPr>
        <w:tc>
          <w:tcPr>
            <w:tcW w:type="dxa" w:w="850"/>
          </w:tcPr>
          <w:p>
            <w:pPr>
              <w:spacing w:after="0"/>
            </w:pPr>
            <w:r>
              <w:rPr>
                <w:b/>
                <w:i w:val="0"/>
                <w:color w:val="1C3550"/>
              </w:rPr>
              <w:t>C-01</w:t>
            </w:r>
          </w:p>
        </w:tc>
        <w:tc>
          <w:tcPr>
            <w:tcW w:type="dxa" w:w="2721"/>
          </w:tcPr>
          <w:p>
            <w:pPr>
              <w:spacing w:after="0"/>
            </w:pPr>
            <w:r>
              <w:rPr>
                <w:b w:val="0"/>
                <w:i w:val="0"/>
              </w:rPr>
              <w:t>Offenlegung</w:t>
            </w:r>
          </w:p>
        </w:tc>
        <w:tc>
          <w:tcPr>
            <w:tcW w:type="dxa" w:w="1587"/>
          </w:tcPr>
          <w:p>
            <w:pPr>
              <w:spacing w:after="0"/>
            </w:pPr>
            <w:r>
              <w:rPr>
                <w:b w:val="0"/>
                <w:i w:val="0"/>
              </w:rPr>
              <w:t>Alle Stufen</w:t>
            </w:r>
          </w:p>
        </w:tc>
        <w:tc>
          <w:tcPr>
            <w:tcW w:type="dxa" w:w="4479"/>
          </w:tcPr>
          <w:p>
            <w:pPr>
              <w:spacing w:after="0"/>
            </w:pPr>
          </w:p>
        </w:tc>
      </w:tr>
      <w:tr>
        <w:trPr>
          <w:cantSplit w:val="true"/>
        </w:trPr>
        <w:tc>
          <w:tcPr>
            <w:tcW w:type="dxa" w:w="850"/>
          </w:tcPr>
          <w:p>
            <w:pPr>
              <w:spacing w:after="0"/>
            </w:pPr>
            <w:r>
              <w:rPr>
                <w:b/>
                <w:i w:val="0"/>
                <w:color w:val="1C3550"/>
              </w:rPr>
              <w:t>C-02</w:t>
            </w:r>
          </w:p>
        </w:tc>
        <w:tc>
          <w:tcPr>
            <w:tcW w:type="dxa" w:w="2721"/>
          </w:tcPr>
          <w:p>
            <w:pPr>
              <w:spacing w:after="0"/>
            </w:pPr>
            <w:r>
              <w:rPr>
                <w:b w:val="0"/>
                <w:i w:val="0"/>
              </w:rPr>
              <w:t>Modellverzeichnis</w:t>
            </w:r>
          </w:p>
        </w:tc>
        <w:tc>
          <w:tcPr>
            <w:tcW w:type="dxa" w:w="1587"/>
          </w:tcPr>
          <w:p>
            <w:pPr>
              <w:spacing w:after="0"/>
            </w:pPr>
            <w:r>
              <w:rPr>
                <w:b w:val="0"/>
                <w:i w:val="0"/>
              </w:rPr>
              <w:t>Alle Stufen</w:t>
            </w:r>
          </w:p>
        </w:tc>
        <w:tc>
          <w:tcPr>
            <w:tcW w:type="dxa" w:w="4479"/>
          </w:tcPr>
          <w:p>
            <w:pPr>
              <w:spacing w:after="0"/>
            </w:pPr>
          </w:p>
        </w:tc>
      </w:tr>
      <w:tr>
        <w:trPr>
          <w:cantSplit w:val="true"/>
        </w:trPr>
        <w:tc>
          <w:tcPr>
            <w:tcW w:type="dxa" w:w="850"/>
          </w:tcPr>
          <w:p>
            <w:pPr>
              <w:spacing w:after="0"/>
            </w:pPr>
            <w:r>
              <w:rPr>
                <w:b/>
                <w:i w:val="0"/>
                <w:color w:val="1C3550"/>
              </w:rPr>
              <w:t>C-03</w:t>
            </w:r>
          </w:p>
        </w:tc>
        <w:tc>
          <w:tcPr>
            <w:tcW w:type="dxa" w:w="2721"/>
          </w:tcPr>
          <w:p>
            <w:pPr>
              <w:spacing w:after="0"/>
            </w:pPr>
            <w:r>
              <w:rPr>
                <w:b w:val="0"/>
                <w:i w:val="0"/>
              </w:rPr>
              <w:t>Kein Training mit Kundendaten</w:t>
            </w:r>
          </w:p>
        </w:tc>
        <w:tc>
          <w:tcPr>
            <w:tcW w:type="dxa" w:w="1587"/>
          </w:tcPr>
          <w:p>
            <w:pPr>
              <w:spacing w:after="0"/>
            </w:pPr>
            <w:r>
              <w:rPr>
                <w:b w:val="0"/>
                <w:i w:val="0"/>
              </w:rPr>
              <w:t>Alle Stufen</w:t>
            </w:r>
          </w:p>
        </w:tc>
        <w:tc>
          <w:tcPr>
            <w:tcW w:type="dxa" w:w="4479"/>
          </w:tcPr>
          <w:p>
            <w:pPr>
              <w:spacing w:after="0"/>
            </w:pPr>
          </w:p>
        </w:tc>
      </w:tr>
      <w:tr>
        <w:trPr>
          <w:cantSplit w:val="true"/>
        </w:trPr>
        <w:tc>
          <w:tcPr>
            <w:tcW w:type="dxa" w:w="850"/>
          </w:tcPr>
          <w:p>
            <w:pPr>
              <w:spacing w:after="0"/>
            </w:pPr>
            <w:r>
              <w:rPr>
                <w:b/>
                <w:i w:val="0"/>
                <w:color w:val="1C3550"/>
              </w:rPr>
              <w:t>C-04</w:t>
            </w:r>
          </w:p>
        </w:tc>
        <w:tc>
          <w:tcPr>
            <w:tcW w:type="dxa" w:w="2721"/>
          </w:tcPr>
          <w:p>
            <w:pPr>
              <w:spacing w:after="0"/>
            </w:pPr>
            <w:r>
              <w:rPr>
                <w:b w:val="0"/>
                <w:i w:val="0"/>
              </w:rPr>
              <w:t>Keine Inhalte in Telemetrie und Protokollen</w:t>
            </w:r>
          </w:p>
        </w:tc>
        <w:tc>
          <w:tcPr>
            <w:tcW w:type="dxa" w:w="1587"/>
          </w:tcPr>
          <w:p>
            <w:pPr>
              <w:spacing w:after="0"/>
            </w:pPr>
            <w:r>
              <w:rPr>
                <w:b w:val="0"/>
                <w:i w:val="0"/>
              </w:rPr>
              <w:t>Alle Stufen</w:t>
            </w:r>
          </w:p>
        </w:tc>
        <w:tc>
          <w:tcPr>
            <w:tcW w:type="dxa" w:w="4479"/>
          </w:tcPr>
          <w:p>
            <w:pPr>
              <w:spacing w:after="0"/>
            </w:pPr>
          </w:p>
        </w:tc>
      </w:tr>
      <w:tr>
        <w:trPr>
          <w:cantSplit w:val="true"/>
        </w:trPr>
        <w:tc>
          <w:tcPr>
            <w:tcW w:type="dxa" w:w="850"/>
          </w:tcPr>
          <w:p>
            <w:pPr>
              <w:spacing w:after="0"/>
            </w:pPr>
            <w:r>
              <w:rPr>
                <w:b/>
                <w:i w:val="0"/>
                <w:color w:val="1C3550"/>
              </w:rPr>
              <w:t>C-05</w:t>
            </w:r>
          </w:p>
        </w:tc>
        <w:tc>
          <w:tcPr>
            <w:tcW w:type="dxa" w:w="2721"/>
          </w:tcPr>
          <w:p>
            <w:pPr>
              <w:spacing w:after="0"/>
            </w:pPr>
            <w:r>
              <w:rPr>
                <w:b w:val="0"/>
                <w:i w:val="0"/>
              </w:rPr>
              <w:t>Änderungsmeldung</w:t>
            </w:r>
          </w:p>
        </w:tc>
        <w:tc>
          <w:tcPr>
            <w:tcW w:type="dxa" w:w="1587"/>
          </w:tcPr>
          <w:p>
            <w:pPr>
              <w:spacing w:after="0"/>
            </w:pPr>
            <w:r>
              <w:rPr>
                <w:b w:val="0"/>
                <w:i w:val="0"/>
              </w:rPr>
              <w:t>Alle Stufen</w:t>
            </w:r>
          </w:p>
        </w:tc>
        <w:tc>
          <w:tcPr>
            <w:tcW w:type="dxa" w:w="4479"/>
          </w:tcPr>
          <w:p>
            <w:pPr>
              <w:spacing w:after="0"/>
            </w:pPr>
          </w:p>
        </w:tc>
      </w:tr>
      <w:tr>
        <w:trPr>
          <w:cantSplit w:val="true"/>
        </w:trPr>
        <w:tc>
          <w:tcPr>
            <w:tcW w:type="dxa" w:w="850"/>
          </w:tcPr>
          <w:p>
            <w:pPr>
              <w:spacing w:after="0"/>
            </w:pPr>
            <w:r>
              <w:rPr>
                <w:b/>
                <w:i w:val="0"/>
                <w:color w:val="1C3550"/>
              </w:rPr>
              <w:t>C-06</w:t>
            </w:r>
          </w:p>
        </w:tc>
        <w:tc>
          <w:tcPr>
            <w:tcW w:type="dxa" w:w="2721"/>
          </w:tcPr>
          <w:p>
            <w:pPr>
              <w:spacing w:after="0"/>
            </w:pPr>
            <w:r>
              <w:rPr>
                <w:b w:val="0"/>
                <w:i w:val="0"/>
              </w:rPr>
              <w:t>Verbindungsliste</w:t>
            </w:r>
          </w:p>
        </w:tc>
        <w:tc>
          <w:tcPr>
            <w:tcW w:type="dxa" w:w="1587"/>
          </w:tcPr>
          <w:p>
            <w:pPr>
              <w:spacing w:after="0"/>
            </w:pPr>
            <w:r>
              <w:rPr>
                <w:b w:val="0"/>
                <w:i w:val="0"/>
              </w:rPr>
              <w:t>Alle Stufen</w:t>
            </w:r>
          </w:p>
        </w:tc>
        <w:tc>
          <w:tcPr>
            <w:tcW w:type="dxa" w:w="4479"/>
          </w:tcPr>
          <w:p>
            <w:pPr>
              <w:spacing w:after="0"/>
            </w:pPr>
          </w:p>
        </w:tc>
      </w:tr>
      <w:tr>
        <w:trPr>
          <w:cantSplit w:val="true"/>
        </w:trPr>
        <w:tc>
          <w:tcPr>
            <w:tcW w:type="dxa" w:w="850"/>
          </w:tcPr>
          <w:p>
            <w:pPr>
              <w:spacing w:after="0"/>
            </w:pPr>
            <w:r>
              <w:rPr>
                <w:b/>
                <w:i w:val="0"/>
                <w:color w:val="1C3550"/>
              </w:rPr>
              <w:t>C-07</w:t>
            </w:r>
          </w:p>
        </w:tc>
        <w:tc>
          <w:tcPr>
            <w:tcW w:type="dxa" w:w="2721"/>
          </w:tcPr>
          <w:p>
            <w:pPr>
              <w:spacing w:after="0"/>
            </w:pPr>
            <w:r>
              <w:rPr>
                <w:b w:val="0"/>
                <w:i w:val="0"/>
              </w:rPr>
              <w:t>Auftragsverarbeitung</w:t>
            </w:r>
          </w:p>
        </w:tc>
        <w:tc>
          <w:tcPr>
            <w:tcW w:type="dxa" w:w="1587"/>
          </w:tcPr>
          <w:p>
            <w:pPr>
              <w:spacing w:after="0"/>
            </w:pPr>
            <w:r>
              <w:rPr>
                <w:b w:val="0"/>
                <w:i w:val="0"/>
              </w:rPr>
              <w:t>Alle Stufen</w:t>
            </w:r>
          </w:p>
        </w:tc>
        <w:tc>
          <w:tcPr>
            <w:tcW w:type="dxa" w:w="4479"/>
          </w:tcPr>
          <w:p>
            <w:pPr>
              <w:spacing w:after="0"/>
            </w:pPr>
          </w:p>
        </w:tc>
      </w:tr>
      <w:tr>
        <w:trPr>
          <w:cantSplit w:val="true"/>
        </w:trPr>
        <w:tc>
          <w:tcPr>
            <w:tcW w:type="dxa" w:w="850"/>
          </w:tcPr>
          <w:p>
            <w:pPr>
              <w:spacing w:after="0"/>
            </w:pPr>
            <w:r>
              <w:rPr>
                <w:b/>
                <w:i w:val="0"/>
                <w:color w:val="1C3550"/>
              </w:rPr>
              <w:t>C-08</w:t>
            </w:r>
          </w:p>
        </w:tc>
        <w:tc>
          <w:tcPr>
            <w:tcW w:type="dxa" w:w="2721"/>
          </w:tcPr>
          <w:p>
            <w:pPr>
              <w:spacing w:after="0"/>
            </w:pPr>
            <w:r>
              <w:rPr>
                <w:b w:val="0"/>
                <w:i w:val="0"/>
              </w:rPr>
              <w:t>Vom Nutzer ausgelöste Meldungen</w:t>
            </w:r>
          </w:p>
        </w:tc>
        <w:tc>
          <w:tcPr>
            <w:tcW w:type="dxa" w:w="1587"/>
          </w:tcPr>
          <w:p>
            <w:pPr>
              <w:spacing w:after="0"/>
            </w:pPr>
            <w:r>
              <w:rPr>
                <w:b w:val="0"/>
                <w:i w:val="0"/>
              </w:rPr>
              <w:t>Alle Stufen</w:t>
            </w:r>
          </w:p>
        </w:tc>
        <w:tc>
          <w:tcPr>
            <w:tcW w:type="dxa" w:w="4479"/>
          </w:tcPr>
          <w:p>
            <w:pPr>
              <w:spacing w:after="0"/>
            </w:pPr>
            <w:r>
              <w:rPr>
                <w:b w:val="0"/>
                <w:i w:val="0"/>
              </w:rPr>
              <w:t>Ersetzt werden ≥ 99 % der strukturierten Kennungen (IBAN, E-Mail, Telefon, Ausweis- und Steuernummern), ≥ 98 % der Personennamen und ≥ 95 % aller Prüfwerte – wie B-03.</w:t>
            </w:r>
          </w:p>
        </w:tc>
      </w:tr>
      <w:tr>
        <w:trPr>
          <w:cantSplit w:val="true"/>
        </w:trPr>
        <w:tc>
          <w:tcPr>
            <w:tcW w:type="dxa" w:w="850"/>
          </w:tcPr>
          <w:p>
            <w:pPr>
              <w:spacing w:after="0"/>
            </w:pPr>
            <w:r>
              <w:rPr>
                <w:b/>
                <w:i w:val="0"/>
                <w:color w:val="946A12"/>
              </w:rPr>
              <w:t>G-01</w:t>
            </w:r>
          </w:p>
        </w:tc>
        <w:tc>
          <w:tcPr>
            <w:tcW w:type="dxa" w:w="2721"/>
          </w:tcPr>
          <w:p>
            <w:pPr>
              <w:spacing w:after="0"/>
            </w:pPr>
            <w:r>
              <w:rPr>
                <w:b w:val="0"/>
                <w:i w:val="0"/>
              </w:rPr>
              <w:t>Lokale Inferenz</w:t>
            </w:r>
          </w:p>
        </w:tc>
        <w:tc>
          <w:tcPr>
            <w:tcW w:type="dxa" w:w="1587"/>
          </w:tcPr>
          <w:p>
            <w:pPr>
              <w:spacing w:after="0"/>
            </w:pPr>
            <w:r>
              <w:rPr>
                <w:b w:val="0"/>
                <w:i w:val="0"/>
              </w:rPr>
              <w:t>Gold</w:t>
            </w:r>
          </w:p>
        </w:tc>
        <w:tc>
          <w:tcPr>
            <w:tcW w:type="dxa" w:w="4479"/>
          </w:tcPr>
          <w:p>
            <w:pPr>
              <w:spacing w:after="0"/>
            </w:pPr>
          </w:p>
        </w:tc>
      </w:tr>
      <w:tr>
        <w:trPr>
          <w:cantSplit w:val="true"/>
        </w:trPr>
        <w:tc>
          <w:tcPr>
            <w:tcW w:type="dxa" w:w="850"/>
          </w:tcPr>
          <w:p>
            <w:pPr>
              <w:spacing w:after="0"/>
            </w:pPr>
            <w:r>
              <w:rPr>
                <w:b/>
                <w:i w:val="0"/>
                <w:color w:val="946A12"/>
              </w:rPr>
              <w:t>G-02</w:t>
            </w:r>
          </w:p>
        </w:tc>
        <w:tc>
          <w:tcPr>
            <w:tcW w:type="dxa" w:w="2721"/>
          </w:tcPr>
          <w:p>
            <w:pPr>
              <w:spacing w:after="0"/>
            </w:pPr>
            <w:r>
              <w:rPr>
                <w:b w:val="0"/>
                <w:i w:val="0"/>
              </w:rPr>
              <w:t>Offline-Betrieb</w:t>
            </w:r>
          </w:p>
        </w:tc>
        <w:tc>
          <w:tcPr>
            <w:tcW w:type="dxa" w:w="1587"/>
          </w:tcPr>
          <w:p>
            <w:pPr>
              <w:spacing w:after="0"/>
            </w:pPr>
            <w:r>
              <w:rPr>
                <w:b w:val="0"/>
                <w:i w:val="0"/>
              </w:rPr>
              <w:t>Gold</w:t>
            </w:r>
          </w:p>
        </w:tc>
        <w:tc>
          <w:tcPr>
            <w:tcW w:type="dxa" w:w="4479"/>
          </w:tcPr>
          <w:p>
            <w:pPr>
              <w:spacing w:after="0"/>
            </w:pPr>
            <w:r>
              <w:rPr>
                <w:b w:val="0"/>
                <w:i w:val="0"/>
              </w:rPr>
              <w:t>Offline-Weiterbetrieb ≥ 14 Tage.</w:t>
            </w:r>
          </w:p>
        </w:tc>
      </w:tr>
      <w:tr>
        <w:trPr>
          <w:cantSplit w:val="true"/>
        </w:trPr>
        <w:tc>
          <w:tcPr>
            <w:tcW w:type="dxa" w:w="850"/>
          </w:tcPr>
          <w:p>
            <w:pPr>
              <w:spacing w:after="0"/>
            </w:pPr>
            <w:r>
              <w:rPr>
                <w:b/>
                <w:i w:val="0"/>
                <w:color w:val="946A12"/>
              </w:rPr>
              <w:t>G-03</w:t>
            </w:r>
          </w:p>
        </w:tc>
        <w:tc>
          <w:tcPr>
            <w:tcW w:type="dxa" w:w="2721"/>
          </w:tcPr>
          <w:p>
            <w:pPr>
              <w:spacing w:after="0"/>
            </w:pPr>
            <w:r>
              <w:rPr>
                <w:b w:val="0"/>
                <w:i w:val="0"/>
              </w:rPr>
              <w:t>Nachprüfbare Modelle</w:t>
            </w:r>
          </w:p>
        </w:tc>
        <w:tc>
          <w:tcPr>
            <w:tcW w:type="dxa" w:w="1587"/>
          </w:tcPr>
          <w:p>
            <w:pPr>
              <w:spacing w:after="0"/>
            </w:pPr>
            <w:r>
              <w:rPr>
                <w:b w:val="0"/>
                <w:i w:val="0"/>
              </w:rPr>
              <w:t>Gold</w:t>
            </w:r>
          </w:p>
        </w:tc>
        <w:tc>
          <w:tcPr>
            <w:tcW w:type="dxa" w:w="4479"/>
          </w:tcPr>
          <w:p>
            <w:pPr>
              <w:spacing w:after="0"/>
            </w:pPr>
          </w:p>
        </w:tc>
      </w:tr>
      <w:tr>
        <w:trPr>
          <w:cantSplit w:val="true"/>
        </w:trPr>
        <w:tc>
          <w:tcPr>
            <w:tcW w:type="dxa" w:w="850"/>
          </w:tcPr>
          <w:p>
            <w:pPr>
              <w:spacing w:after="0"/>
            </w:pPr>
            <w:r>
              <w:rPr>
                <w:b/>
                <w:i w:val="0"/>
                <w:color w:val="5F6B78"/>
              </w:rPr>
              <w:t>S-01</w:t>
            </w:r>
          </w:p>
        </w:tc>
        <w:tc>
          <w:tcPr>
            <w:tcW w:type="dxa" w:w="2721"/>
          </w:tcPr>
          <w:p>
            <w:pPr>
              <w:spacing w:after="0"/>
            </w:pPr>
            <w:r>
              <w:rPr>
                <w:b w:val="0"/>
                <w:i w:val="0"/>
              </w:rPr>
              <w:t>Vom Anbieter betriebene KI</w:t>
            </w:r>
          </w:p>
        </w:tc>
        <w:tc>
          <w:tcPr>
            <w:tcW w:type="dxa" w:w="1587"/>
          </w:tcPr>
          <w:p>
            <w:pPr>
              <w:spacing w:after="0"/>
            </w:pPr>
            <w:r>
              <w:rPr>
                <w:b w:val="0"/>
                <w:i w:val="0"/>
              </w:rPr>
              <w:t>Silber · S-a</w:t>
            </w:r>
          </w:p>
        </w:tc>
        <w:tc>
          <w:tcPr>
            <w:tcW w:type="dxa" w:w="4479"/>
          </w:tcPr>
          <w:p>
            <w:pPr>
              <w:spacing w:after="0"/>
            </w:pPr>
          </w:p>
        </w:tc>
      </w:tr>
      <w:tr>
        <w:trPr>
          <w:cantSplit w:val="true"/>
        </w:trPr>
        <w:tc>
          <w:tcPr>
            <w:tcW w:type="dxa" w:w="850"/>
          </w:tcPr>
          <w:p>
            <w:pPr>
              <w:spacing w:after="0"/>
            </w:pPr>
            <w:r>
              <w:rPr>
                <w:b/>
                <w:i w:val="0"/>
                <w:color w:val="5F6B78"/>
              </w:rPr>
              <w:t>S-02</w:t>
            </w:r>
          </w:p>
        </w:tc>
        <w:tc>
          <w:tcPr>
            <w:tcW w:type="dxa" w:w="2721"/>
          </w:tcPr>
          <w:p>
            <w:pPr>
              <w:spacing w:after="0"/>
            </w:pPr>
            <w:r>
              <w:rPr>
                <w:b w:val="0"/>
                <w:i w:val="0"/>
              </w:rPr>
              <w:t>Weiche</w:t>
            </w:r>
          </w:p>
        </w:tc>
        <w:tc>
          <w:tcPr>
            <w:tcW w:type="dxa" w:w="1587"/>
          </w:tcPr>
          <w:p>
            <w:pPr>
              <w:spacing w:after="0"/>
            </w:pPr>
            <w:r>
              <w:rPr>
                <w:b w:val="0"/>
                <w:i w:val="0"/>
              </w:rPr>
              <w:t>Silber · S-b</w:t>
            </w:r>
          </w:p>
        </w:tc>
        <w:tc>
          <w:tcPr>
            <w:tcW w:type="dxa" w:w="4479"/>
          </w:tcPr>
          <w:p>
            <w:pPr>
              <w:spacing w:after="0"/>
            </w:pPr>
          </w:p>
        </w:tc>
      </w:tr>
      <w:tr>
        <w:trPr>
          <w:cantSplit w:val="true"/>
        </w:trPr>
        <w:tc>
          <w:tcPr>
            <w:tcW w:type="dxa" w:w="850"/>
          </w:tcPr>
          <w:p>
            <w:pPr>
              <w:spacing w:after="0"/>
            </w:pPr>
            <w:r>
              <w:rPr>
                <w:b/>
                <w:i w:val="0"/>
                <w:color w:val="5F6B78"/>
              </w:rPr>
              <w:t>S-03</w:t>
            </w:r>
          </w:p>
        </w:tc>
        <w:tc>
          <w:tcPr>
            <w:tcW w:type="dxa" w:w="2721"/>
          </w:tcPr>
          <w:p>
            <w:pPr>
              <w:spacing w:after="0"/>
            </w:pPr>
            <w:r>
              <w:rPr>
                <w:b w:val="0"/>
                <w:i w:val="0"/>
              </w:rPr>
              <w:t>Trefferquote der Weiche</w:t>
            </w:r>
          </w:p>
        </w:tc>
        <w:tc>
          <w:tcPr>
            <w:tcW w:type="dxa" w:w="1587"/>
          </w:tcPr>
          <w:p>
            <w:pPr>
              <w:spacing w:after="0"/>
            </w:pPr>
            <w:r>
              <w:rPr>
                <w:b w:val="0"/>
                <w:i w:val="0"/>
              </w:rPr>
              <w:t>Silber · S-b</w:t>
            </w:r>
          </w:p>
        </w:tc>
        <w:tc>
          <w:tcPr>
            <w:tcW w:type="dxa" w:w="4479"/>
          </w:tcPr>
          <w:p>
            <w:pPr>
              <w:spacing w:after="0"/>
            </w:pPr>
            <w:r>
              <w:rPr>
                <w:b w:val="0"/>
                <w:i w:val="0"/>
              </w:rPr>
              <w:t>Von den Testanfragen mit personenbezogenen Daten erreichen höchstens 0,5 % die Dritt-KI (≥ 99,5 % zurückgehalten); bei Anfragen mit strukturierten Kennungen (IBAN, E-Mail, Telefon, Ausweis- und Steuernummern) höchstens 0,1 % (≥ 99,9 %).</w:t>
            </w:r>
          </w:p>
        </w:tc>
      </w:tr>
      <w:tr>
        <w:trPr>
          <w:cantSplit w:val="true"/>
        </w:trPr>
        <w:tc>
          <w:tcPr>
            <w:tcW w:type="dxa" w:w="850"/>
          </w:tcPr>
          <w:p>
            <w:pPr>
              <w:spacing w:after="0"/>
            </w:pPr>
            <w:r>
              <w:rPr>
                <w:b/>
                <w:i w:val="0"/>
                <w:color w:val="5F6B78"/>
              </w:rPr>
              <w:t>S-04</w:t>
            </w:r>
          </w:p>
        </w:tc>
        <w:tc>
          <w:tcPr>
            <w:tcW w:type="dxa" w:w="2721"/>
          </w:tcPr>
          <w:p>
            <w:pPr>
              <w:spacing w:after="0"/>
            </w:pPr>
            <w:r>
              <w:rPr>
                <w:b w:val="0"/>
                <w:i w:val="0"/>
              </w:rPr>
              <w:t>Sicherer Ausfall der Weiche</w:t>
            </w:r>
          </w:p>
        </w:tc>
        <w:tc>
          <w:tcPr>
            <w:tcW w:type="dxa" w:w="1587"/>
          </w:tcPr>
          <w:p>
            <w:pPr>
              <w:spacing w:after="0"/>
            </w:pPr>
            <w:r>
              <w:rPr>
                <w:b w:val="0"/>
                <w:i w:val="0"/>
              </w:rPr>
              <w:t>Silber · S-b</w:t>
            </w:r>
          </w:p>
        </w:tc>
        <w:tc>
          <w:tcPr>
            <w:tcW w:type="dxa" w:w="4479"/>
          </w:tcPr>
          <w:p>
            <w:pPr>
              <w:spacing w:after="0"/>
            </w:pPr>
          </w:p>
        </w:tc>
      </w:tr>
      <w:tr>
        <w:trPr>
          <w:cantSplit w:val="true"/>
        </w:trPr>
        <w:tc>
          <w:tcPr>
            <w:tcW w:type="dxa" w:w="850"/>
          </w:tcPr>
          <w:p>
            <w:pPr>
              <w:spacing w:after="0"/>
            </w:pPr>
            <w:r>
              <w:rPr>
                <w:b/>
                <w:i w:val="0"/>
                <w:color w:val="8E4F1E"/>
              </w:rPr>
              <w:t>B-01</w:t>
            </w:r>
          </w:p>
        </w:tc>
        <w:tc>
          <w:tcPr>
            <w:tcW w:type="dxa" w:w="2721"/>
          </w:tcPr>
          <w:p>
            <w:pPr>
              <w:spacing w:after="0"/>
            </w:pPr>
            <w:r>
              <w:rPr>
                <w:b w:val="0"/>
                <w:i w:val="0"/>
              </w:rPr>
              <w:t>Pseudonymisierung vor der Übermittlung</w:t>
            </w:r>
          </w:p>
        </w:tc>
        <w:tc>
          <w:tcPr>
            <w:tcW w:type="dxa" w:w="1587"/>
          </w:tcPr>
          <w:p>
            <w:pPr>
              <w:spacing w:after="0"/>
            </w:pPr>
            <w:r>
              <w:rPr>
                <w:b w:val="0"/>
                <w:i w:val="0"/>
              </w:rPr>
              <w:t>Bronze</w:t>
            </w:r>
          </w:p>
        </w:tc>
        <w:tc>
          <w:tcPr>
            <w:tcW w:type="dxa" w:w="4479"/>
          </w:tcPr>
          <w:p>
            <w:pPr>
              <w:spacing w:after="0"/>
            </w:pPr>
          </w:p>
        </w:tc>
      </w:tr>
      <w:tr>
        <w:trPr>
          <w:cantSplit w:val="true"/>
        </w:trPr>
        <w:tc>
          <w:tcPr>
            <w:tcW w:type="dxa" w:w="850"/>
          </w:tcPr>
          <w:p>
            <w:pPr>
              <w:spacing w:after="0"/>
            </w:pPr>
            <w:r>
              <w:rPr>
                <w:b/>
                <w:i w:val="0"/>
                <w:color w:val="8E4F1E"/>
              </w:rPr>
              <w:t>B-02</w:t>
            </w:r>
          </w:p>
        </w:tc>
        <w:tc>
          <w:tcPr>
            <w:tcW w:type="dxa" w:w="2721"/>
          </w:tcPr>
          <w:p>
            <w:pPr>
              <w:spacing w:after="0"/>
            </w:pPr>
            <w:r>
              <w:rPr>
                <w:b w:val="0"/>
                <w:i w:val="0"/>
              </w:rPr>
              <w:t>Erfasste Kategorien</w:t>
            </w:r>
          </w:p>
        </w:tc>
        <w:tc>
          <w:tcPr>
            <w:tcW w:type="dxa" w:w="1587"/>
          </w:tcPr>
          <w:p>
            <w:pPr>
              <w:spacing w:after="0"/>
            </w:pPr>
            <w:r>
              <w:rPr>
                <w:b w:val="0"/>
                <w:i w:val="0"/>
              </w:rPr>
              <w:t>Bronze</w:t>
            </w:r>
          </w:p>
        </w:tc>
        <w:tc>
          <w:tcPr>
            <w:tcW w:type="dxa" w:w="4479"/>
          </w:tcPr>
          <w:p>
            <w:pPr>
              <w:spacing w:after="0"/>
            </w:pPr>
          </w:p>
        </w:tc>
      </w:tr>
      <w:tr>
        <w:trPr>
          <w:cantSplit w:val="true"/>
        </w:trPr>
        <w:tc>
          <w:tcPr>
            <w:tcW w:type="dxa" w:w="850"/>
          </w:tcPr>
          <w:p>
            <w:pPr>
              <w:spacing w:after="0"/>
            </w:pPr>
            <w:r>
              <w:rPr>
                <w:b/>
                <w:i w:val="0"/>
                <w:color w:val="8E4F1E"/>
              </w:rPr>
              <w:t>B-03</w:t>
            </w:r>
          </w:p>
        </w:tc>
        <w:tc>
          <w:tcPr>
            <w:tcW w:type="dxa" w:w="2721"/>
          </w:tcPr>
          <w:p>
            <w:pPr>
              <w:spacing w:after="0"/>
            </w:pPr>
            <w:r>
              <w:rPr>
                <w:b w:val="0"/>
                <w:i w:val="0"/>
              </w:rPr>
              <w:t>Erkennungsquote</w:t>
            </w:r>
          </w:p>
        </w:tc>
        <w:tc>
          <w:tcPr>
            <w:tcW w:type="dxa" w:w="1587"/>
          </w:tcPr>
          <w:p>
            <w:pPr>
              <w:spacing w:after="0"/>
            </w:pPr>
            <w:r>
              <w:rPr>
                <w:b w:val="0"/>
                <w:i w:val="0"/>
              </w:rPr>
              <w:t>Bronze</w:t>
            </w:r>
          </w:p>
        </w:tc>
        <w:tc>
          <w:tcPr>
            <w:tcW w:type="dxa" w:w="4479"/>
          </w:tcPr>
          <w:p>
            <w:pPr>
              <w:spacing w:after="0"/>
            </w:pPr>
            <w:r>
              <w:rPr>
                <w:b w:val="0"/>
                <w:i w:val="0"/>
              </w:rPr>
              <w:t>Entfernt werden ≥ 99 % der strukturierten Kennungen (IBAN, E-Mail, Telefon, Ausweis- und Steuernummern), ≥ 98 % der Personennamen und ≥ 95 % aller Prüfwerte insgesamt.</w:t>
            </w:r>
          </w:p>
        </w:tc>
      </w:tr>
      <w:tr>
        <w:trPr>
          <w:cantSplit w:val="true"/>
        </w:trPr>
        <w:tc>
          <w:tcPr>
            <w:tcW w:type="dxa" w:w="850"/>
          </w:tcPr>
          <w:p>
            <w:pPr>
              <w:spacing w:after="0"/>
            </w:pPr>
            <w:r>
              <w:rPr>
                <w:b/>
                <w:i w:val="0"/>
                <w:color w:val="8E4F1E"/>
              </w:rPr>
              <w:t>B-04</w:t>
            </w:r>
          </w:p>
        </w:tc>
        <w:tc>
          <w:tcPr>
            <w:tcW w:type="dxa" w:w="2721"/>
          </w:tcPr>
          <w:p>
            <w:pPr>
              <w:spacing w:after="0"/>
            </w:pPr>
            <w:r>
              <w:rPr>
                <w:b w:val="0"/>
                <w:i w:val="0"/>
              </w:rPr>
              <w:t>Zuordnungstabelle bleibt</w:t>
            </w:r>
          </w:p>
        </w:tc>
        <w:tc>
          <w:tcPr>
            <w:tcW w:type="dxa" w:w="1587"/>
          </w:tcPr>
          <w:p>
            <w:pPr>
              <w:spacing w:after="0"/>
            </w:pPr>
            <w:r>
              <w:rPr>
                <w:b w:val="0"/>
                <w:i w:val="0"/>
              </w:rPr>
              <w:t>Bronze</w:t>
            </w:r>
          </w:p>
        </w:tc>
        <w:tc>
          <w:tcPr>
            <w:tcW w:type="dxa" w:w="4479"/>
          </w:tcPr>
          <w:p>
            <w:pPr>
              <w:spacing w:after="0"/>
            </w:pPr>
          </w:p>
        </w:tc>
      </w:tr>
      <w:tr>
        <w:trPr>
          <w:cantSplit w:val="true"/>
        </w:trPr>
        <w:tc>
          <w:tcPr>
            <w:tcW w:type="dxa" w:w="850"/>
          </w:tcPr>
          <w:p>
            <w:pPr>
              <w:spacing w:after="0"/>
            </w:pPr>
            <w:r>
              <w:rPr>
                <w:b/>
                <w:i w:val="0"/>
                <w:color w:val="8E4F1E"/>
              </w:rPr>
              <w:t>B-05</w:t>
            </w:r>
          </w:p>
        </w:tc>
        <w:tc>
          <w:tcPr>
            <w:tcW w:type="dxa" w:w="2721"/>
          </w:tcPr>
          <w:p>
            <w:pPr>
              <w:spacing w:after="0"/>
            </w:pPr>
            <w:r>
              <w:rPr>
                <w:b w:val="0"/>
                <w:i w:val="0"/>
              </w:rPr>
              <w:t>Sicherer Ausfall der Pseudonymisierung</w:t>
            </w:r>
          </w:p>
        </w:tc>
        <w:tc>
          <w:tcPr>
            <w:tcW w:type="dxa" w:w="1587"/>
          </w:tcPr>
          <w:p>
            <w:pPr>
              <w:spacing w:after="0"/>
            </w:pPr>
            <w:r>
              <w:rPr>
                <w:b w:val="0"/>
                <w:i w:val="0"/>
              </w:rPr>
              <w:t>Bronze</w:t>
            </w:r>
          </w:p>
        </w:tc>
        <w:tc>
          <w:tcPr>
            <w:tcW w:type="dxa" w:w="4479"/>
          </w:tcPr>
          <w:p>
            <w:pPr>
              <w:spacing w:after="0"/>
            </w:pPr>
          </w:p>
        </w:tc>
      </w:tr>
      <w:tr>
        <w:trPr>
          <w:cantSplit w:val="true"/>
        </w:trPr>
        <w:tc>
          <w:tcPr>
            <w:tcW w:type="dxa" w:w="850"/>
          </w:tcPr>
          <w:p>
            <w:pPr>
              <w:spacing w:after="0"/>
            </w:pPr>
            <w:r>
              <w:rPr>
                <w:b/>
                <w:i w:val="0"/>
                <w:color w:val="8E4F1E"/>
              </w:rPr>
              <w:t>B-06</w:t>
            </w:r>
          </w:p>
        </w:tc>
        <w:tc>
          <w:tcPr>
            <w:tcW w:type="dxa" w:w="2721"/>
          </w:tcPr>
          <w:p>
            <w:pPr>
              <w:spacing w:after="0"/>
            </w:pPr>
            <w:r>
              <w:rPr>
                <w:b w:val="0"/>
                <w:i w:val="0"/>
              </w:rPr>
              <w:t>Einsicht für Nutzer</w:t>
            </w:r>
          </w:p>
        </w:tc>
        <w:tc>
          <w:tcPr>
            <w:tcW w:type="dxa" w:w="1587"/>
          </w:tcPr>
          <w:p>
            <w:pPr>
              <w:spacing w:after="0"/>
            </w:pPr>
            <w:r>
              <w:rPr>
                <w:b w:val="0"/>
                <w:i w:val="0"/>
              </w:rPr>
              <w:t>Bronze</w:t>
            </w:r>
          </w:p>
        </w:tc>
        <w:tc>
          <w:tcPr>
            <w:tcW w:type="dxa" w:w="4479"/>
          </w:tcPr>
          <w:p>
            <w:pPr>
              <w:spacing w:after="0"/>
            </w:pPr>
          </w:p>
        </w:tc>
      </w:tr>
      <w:tr>
        <w:trPr>
          <w:cantSplit w:val="true"/>
        </w:trPr>
        <w:tc>
          <w:tcPr>
            <w:tcW w:type="dxa" w:w="850"/>
          </w:tcPr>
          <w:p>
            <w:pPr>
              <w:spacing w:after="0"/>
            </w:pPr>
            <w:r>
              <w:rPr>
                <w:b/>
                <w:i w:val="0"/>
                <w:color w:val="8E4F1E"/>
              </w:rPr>
              <w:t>B-07</w:t>
            </w:r>
          </w:p>
        </w:tc>
        <w:tc>
          <w:tcPr>
            <w:tcW w:type="dxa" w:w="2721"/>
          </w:tcPr>
          <w:p>
            <w:pPr>
              <w:spacing w:after="0"/>
            </w:pPr>
            <w:r>
              <w:rPr>
                <w:b w:val="0"/>
                <w:i w:val="0"/>
              </w:rPr>
              <w:t>Vertrag mit der Dritt-KI</w:t>
            </w:r>
          </w:p>
        </w:tc>
        <w:tc>
          <w:tcPr>
            <w:tcW w:type="dxa" w:w="1587"/>
          </w:tcPr>
          <w:p>
            <w:pPr>
              <w:spacing w:after="0"/>
            </w:pPr>
            <w:r>
              <w:rPr>
                <w:b w:val="0"/>
                <w:i w:val="0"/>
              </w:rPr>
              <w:t>Bronze</w:t>
            </w:r>
          </w:p>
        </w:tc>
        <w:tc>
          <w:tcPr>
            <w:tcW w:type="dxa" w:w="4479"/>
          </w:tcPr>
          <w:p>
            <w:pPr>
              <w:spacing w:after="0"/>
            </w:pPr>
            <w:r>
              <w:rPr>
                <w:b w:val="0"/>
                <w:i w:val="0"/>
              </w:rPr>
              <w:t>Speicherung ≤ 30 Tage.</w:t>
            </w:r>
          </w:p>
        </w:tc>
      </w:tr>
      <w:tr>
        <w:trPr>
          <w:cantSplit w:val="true"/>
        </w:trPr>
        <w:tc>
          <w:tcPr>
            <w:tcW w:type="dxa" w:w="850"/>
          </w:tcPr>
          <w:p>
            <w:pPr>
              <w:spacing w:after="0"/>
            </w:pPr>
            <w:r>
              <w:rPr>
                <w:b/>
                <w:i w:val="0"/>
                <w:color w:val="8E4F1E"/>
              </w:rPr>
              <w:t>B-08</w:t>
            </w:r>
          </w:p>
        </w:tc>
        <w:tc>
          <w:tcPr>
            <w:tcW w:type="dxa" w:w="2721"/>
          </w:tcPr>
          <w:p>
            <w:pPr>
              <w:spacing w:after="0"/>
            </w:pPr>
            <w:r>
              <w:rPr>
                <w:b w:val="0"/>
                <w:i w:val="0"/>
              </w:rPr>
              <w:t>Richtige Bezeichnung</w:t>
            </w:r>
          </w:p>
        </w:tc>
        <w:tc>
          <w:tcPr>
            <w:tcW w:type="dxa" w:w="1587"/>
          </w:tcPr>
          <w:p>
            <w:pPr>
              <w:spacing w:after="0"/>
            </w:pPr>
            <w:r>
              <w:rPr>
                <w:b w:val="0"/>
                <w:i w:val="0"/>
              </w:rPr>
              <w:t>Bronze</w:t>
            </w:r>
          </w:p>
        </w:tc>
        <w:tc>
          <w:tcPr>
            <w:tcW w:type="dxa" w:w="4479"/>
          </w:tcPr>
          <w:p>
            <w:pPr>
              <w:spacing w:after="0"/>
            </w:pPr>
          </w:p>
        </w:tc>
      </w:tr>
    </w:tbl>
    <w:sectPr w:rsidR="00FC693F" w:rsidRPr="0006063C" w:rsidSect="00034616">
      <w:headerReference w:type="default" r:id="rId9"/>
      <w:footerReference w:type="default" r:id="rId10"/>
      <w:pgSz w:w="11906" w:h="16838"/>
      <w:pgMar w:top="1247"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b w:val="0"/>
        <w:i w:val="0"/>
        <w:color w:val="586676"/>
        <w:sz w:val="16"/>
      </w:rPr>
      <w:t>nocip.com</w:t>
    </w:r>
    <w:r>
      <w:rPr>
        <w:b w:val="0"/>
        <w:i w:val="0"/>
        <w:color w:val="586676"/>
        <w:sz w:val="16"/>
      </w:rPr>
      <w:tab/>
      <w:t xml:space="preserve">Seite </w:t>
    </w:r>
    <w:r>
      <w:rPr>
        <w:color w:val="586676"/>
        <w:sz w:val="16"/>
      </w:rPr>
      <w:fldChar w:fldCharType="begin"/>
      <w:instrText xml:space="preserve"> PAGE </w:instrText>
      <w:fldChar w:fldCharType="separate"/>
      <w:t>1</w:t>
      <w:fldChar w:fldCharType="end"/>
    </w:r>
    <w:r>
      <w:rPr>
        <w:b w:val="0"/>
        <w:i w:val="0"/>
        <w:color w:val="586676"/>
        <w:sz w:val="16"/>
      </w:rPr>
      <w:t xml:space="preserve"> von </w:t>
    </w:r>
    <w:r>
      <w:rPr>
        <w:color w:val="586676"/>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Pr>
        <w:b w:val="0"/>
        <w:i w:val="0"/>
        <w:color w:val="586676"/>
        <w:sz w:val="16"/>
      </w:rPr>
      <w:t>NOCIP · Leitfaden für Antragsteller</w:t>
    </w:r>
    <w:r>
      <w:rPr>
        <w:b w:val="0"/>
        <w:i w:val="0"/>
        <w:color w:val="586676"/>
        <w:sz w:val="16"/>
      </w:rPr>
      <w:tab/>
      <w:t>Version 1.0 · Entwurf · 29.10.2026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8" w:lineRule="auto"/>
    </w:pPr>
    <w:rPr>
      <w:rFonts w:ascii="Public Sans" w:hAnsi="Public Sans" w:cs="Public Sans" w:eastAsia="Public Sans"/>
      <w:color w:val="142231"/>
      <w:sz w:val="19"/>
    </w:rPr>
  </w:style>
  <w:style w:type="paragraph" w:styleId="Header">
    <w:name w:val="header"/>
    <w:basedOn w:val="Normal"/>
    <w:link w:val="HeaderChar"/>
    <w:uiPriority w:val="99"/>
    <w:unhideWhenUsed/>
    <w:rsid w:val="00E618BF"/>
    <w:pPr>
      <w:tabs>
        <w:tab w:val="center" w:pos="4680"/>
        <w:tab w:pos="4680" w:val="clear"/>
        <w:tab w:val="right" w:pos="9360"/>
        <w:tab w:pos="9360" w:val="clear"/>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pos="4680" w:val="clear"/>
        <w:tab w:val="right" w:pos="9360"/>
        <w:tab w:pos="9360" w:val="clear"/>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00"/>
      <w:outlineLvl w:val="0"/>
    </w:pPr>
    <w:rPr>
      <w:rFonts w:ascii="Archivo ExtraBold" w:hAnsi="Archivo ExtraBold" w:cs="Archivo ExtraBold" w:eastAsia="Archivo ExtraBold"/>
      <w:b w:val="0"/>
      <w:bCs/>
      <w:i w:val="0"/>
      <w:color w:val="1C3550"/>
      <w:sz w:val="30"/>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Archivo ExtraBold" w:hAnsi="Archivo ExtraBold" w:cs="Archivo ExtraBold" w:eastAsia="Archivo ExtraBold"/>
      <w:b w:val="0"/>
      <w:bCs/>
      <w:i w:val="0"/>
      <w:color w:val="1C3550"/>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Archivo ExtraBold" w:hAnsi="Archivo ExtraBold" w:cs="Archivo ExtraBold" w:eastAsia="Archivo ExtraBold"/>
      <w:b w:val="0"/>
      <w:bCs/>
      <w:i w:val="0"/>
      <w:color w:val="1C355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chivo ExtraBold" w:hAnsi="Archivo ExtraBold" w:cs="Archivo ExtraBold" w:eastAsia="Archivo ExtraBold"/>
      <w:b w:val="0"/>
      <w:color w:val="14223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